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50EE8" w14:textId="77777777" w:rsidR="007469AF" w:rsidRDefault="007469AF" w:rsidP="007469AF">
      <w:pPr>
        <w:pStyle w:val="Heading1"/>
        <w:jc w:val="center"/>
        <w:rPr>
          <w:rFonts w:ascii="Trebuchet MS" w:eastAsia="Calibri" w:hAnsi="Trebuchet MS"/>
          <w:b/>
          <w:bCs/>
          <w:color w:val="154E81"/>
          <w:sz w:val="28"/>
          <w:szCs w:val="28"/>
        </w:rPr>
      </w:pPr>
      <w:bookmarkStart w:id="0" w:name="_Toc227593281"/>
      <w:r>
        <w:rPr>
          <w:rFonts w:ascii="Trebuchet MS" w:eastAsia="Calibri" w:hAnsi="Trebuchet MS"/>
          <w:b/>
          <w:bCs/>
          <w:color w:val="154E81"/>
          <w:sz w:val="28"/>
          <w:szCs w:val="28"/>
        </w:rPr>
        <w:t>УРОК 12: ВЗЕМАНЕ НА РЕШЕНИЕ ЗА КАНДИДАТСТВАНЕ И ДОБРИ ПРАКТИКИ</w:t>
      </w:r>
      <w:bookmarkEnd w:id="0"/>
    </w:p>
    <w:p w14:paraId="1AD9CF9F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rPr>
          <w:rFonts w:ascii="Trebuchet MS" w:eastAsia="Times New Roman" w:hAnsi="Trebuchet MS"/>
          <w:bCs/>
          <w:kern w:val="0"/>
        </w:rPr>
      </w:pPr>
    </w:p>
    <w:p w14:paraId="30FECB79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В процеса на достъп до финансиране от Европейския съюз, един от ключовите етапи е вземането на информирано решение дали дадена организация следва да кандидатства по конкретна покана. Това решение има стратегически характер, тъй като определя не само вероятността за успех, но и ефективното използване на организационните ресурси.</w:t>
      </w:r>
    </w:p>
    <w:p w14:paraId="39D0AA16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За разлика от предходните етапи, свързани с идентифициране и анализ на възможности за финансиране, настоящият етап изисква интегриране на натрупаните знания и тяхното прилагане в конкретен контекст. Организациите следва да преценят не само формалната допустимост, но и степента на съответствие между своите цели, капацитет и изискванията на поканата.</w:t>
      </w:r>
    </w:p>
    <w:p w14:paraId="1519F2A0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В този смисъл, вземането на решение за кандидатстване не представлява механичен процес, а аналитична дейност, основана на обективна оценка на множество фактори.</w:t>
      </w:r>
    </w:p>
    <w:p w14:paraId="1F7D956E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2FDA645E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/>
          <w:color w:val="00286C"/>
          <w:kern w:val="0"/>
        </w:rPr>
      </w:pPr>
      <w:r>
        <w:rPr>
          <w:rFonts w:ascii="Trebuchet MS" w:eastAsia="Times New Roman" w:hAnsi="Trebuchet MS"/>
          <w:b/>
          <w:color w:val="154E81"/>
          <w:kern w:val="0"/>
        </w:rPr>
        <w:t>1.</w:t>
      </w:r>
      <w:r>
        <w:rPr>
          <w:rFonts w:ascii="Trebuchet MS" w:eastAsia="Times New Roman" w:hAnsi="Trebuchet MS"/>
          <w:b/>
          <w:color w:val="00286C"/>
          <w:kern w:val="0"/>
        </w:rPr>
        <w:t xml:space="preserve"> </w:t>
      </w:r>
      <w:r>
        <w:rPr>
          <w:rFonts w:ascii="Trebuchet MS" w:eastAsia="Times New Roman" w:hAnsi="Trebuchet MS"/>
          <w:b/>
          <w:color w:val="154E81"/>
          <w:kern w:val="0"/>
        </w:rPr>
        <w:t>ОБЩА ЛОГИКА НА ОЦЕНЯВАНЕ НА ПРОЕКТИТЕ</w:t>
      </w:r>
    </w:p>
    <w:p w14:paraId="684947F5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5E5A6BBA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За да се вземе обосновано решение за участие в дадена процедура, е необходимо да се разбере в общ план как се оценяват проектните предложения. Въпреки различията между програмите, оценяването следва сходна логика, основана на предварително определени критерии.</w:t>
      </w:r>
    </w:p>
    <w:p w14:paraId="4DE3A3B9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Оценителите разглеждат проектите не само от гледна точка на тяхното съдържание, но и по отношение на тяхната съгласуваност с целите на програмата. Това означава, че проектното предложение трябва да демонстрира ясно разбиране на приоритетите и да предлага решения, които имат реална стойност в съответния контекст.</w:t>
      </w:r>
    </w:p>
    <w:p w14:paraId="310CD24A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Съществен елемент от оценката е логическата последователност между отделните компоненти на проекта. Дори при наличие на добра идея, липсата на връзка между цели, дейности и резултати може да доведе до по-ниска оценка.</w:t>
      </w:r>
    </w:p>
    <w:p w14:paraId="53EC31CE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273F8C45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Важно е да се подчертае, че оценителите работят в условия на ограничено време и голям брой проектни предложения. Поради това ясно структурираното и съгласувано представяне на информацията е от ключово значение.</w:t>
      </w:r>
    </w:p>
    <w:p w14:paraId="4BF50423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11ACA116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/>
          <w:color w:val="00286C"/>
          <w:kern w:val="0"/>
        </w:rPr>
      </w:pPr>
      <w:r>
        <w:rPr>
          <w:rFonts w:ascii="Trebuchet MS" w:eastAsia="Times New Roman" w:hAnsi="Trebuchet MS"/>
          <w:b/>
          <w:color w:val="154E81"/>
          <w:kern w:val="0"/>
        </w:rPr>
        <w:t>2</w:t>
      </w:r>
      <w:r>
        <w:rPr>
          <w:rFonts w:ascii="Trebuchet MS" w:eastAsia="Times New Roman" w:hAnsi="Trebuchet MS"/>
          <w:b/>
          <w:color w:val="00286C"/>
          <w:kern w:val="0"/>
        </w:rPr>
        <w:t xml:space="preserve">. </w:t>
      </w:r>
      <w:r>
        <w:rPr>
          <w:rFonts w:ascii="Trebuchet MS" w:eastAsia="Times New Roman" w:hAnsi="Trebuchet MS"/>
          <w:b/>
          <w:color w:val="154E81"/>
          <w:kern w:val="0"/>
        </w:rPr>
        <w:t>ОСНОВНИ КРИТЕРИИ ЗА ОЦЕНКА (ОБЩ ПРЕГЛЕД)</w:t>
      </w:r>
    </w:p>
    <w:p w14:paraId="26AC91D3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45631468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Макар конкретните критерии да варират в зависимост от програмата, могат да бъдат обособени няколко основни групи, които са валидни за повечето процедури.</w:t>
      </w:r>
    </w:p>
    <w:p w14:paraId="0512C1EF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 xml:space="preserve">На първо място, това е релевантността на проекта, която се отнася до степента, в която предложението отговаря на целите и приоритетите на </w:t>
      </w:r>
      <w:r>
        <w:rPr>
          <w:rFonts w:ascii="Trebuchet MS" w:eastAsia="Times New Roman" w:hAnsi="Trebuchet MS"/>
          <w:bCs/>
          <w:kern w:val="0"/>
        </w:rPr>
        <w:lastRenderedPageBreak/>
        <w:t>поканата. Проекти, които не са пряко свързани с тематичния обхват, обикновено не получават висока оценка.</w:t>
      </w:r>
    </w:p>
    <w:p w14:paraId="3BA6B3BC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На второ място, се оценява капацитетът на организацията и партньорството. Това включва опит, ресурси и способност за изпълнение на предложените дейности. Липсата на необходим капацитет често се разглежда като риск.</w:t>
      </w:r>
    </w:p>
    <w:p w14:paraId="0549F8D6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Третият основен критерий е въздействието на проекта, което се отнася до очакваните резултати и тяхната устойчивост. Оценителите търсят проекти, които имат реален принос и надхвърлят локалния ефект.</w:t>
      </w:r>
    </w:p>
    <w:p w14:paraId="01DBCC70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Разбирането на тези критерии подпомага организациите да преценят дали техният проект има реален потенциал за успех.</w:t>
      </w:r>
    </w:p>
    <w:p w14:paraId="683E9BFC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44F2EE56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/>
          <w:b/>
          <w:color w:val="00286C"/>
          <w:kern w:val="0"/>
        </w:rPr>
      </w:pPr>
      <w:r>
        <w:rPr>
          <w:rFonts w:ascii="Trebuchet MS" w:eastAsia="Times New Roman" w:hAnsi="Trebuchet MS"/>
          <w:b/>
          <w:color w:val="00286C"/>
          <w:kern w:val="0"/>
        </w:rPr>
        <w:t xml:space="preserve">     3</w:t>
      </w:r>
      <w:r>
        <w:rPr>
          <w:rFonts w:ascii="Trebuchet MS" w:eastAsia="Times New Roman" w:hAnsi="Trebuchet MS"/>
          <w:b/>
          <w:color w:val="154E81"/>
          <w:kern w:val="0"/>
        </w:rPr>
        <w:t>. ФАКТОРИ ЗА УСПЕХ ПРИ КАНДИДАТСТВАНЕ</w:t>
      </w:r>
    </w:p>
    <w:p w14:paraId="36AE3747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/>
          <w:color w:val="6373BA"/>
          <w:kern w:val="0"/>
        </w:rPr>
      </w:pPr>
    </w:p>
    <w:p w14:paraId="548B770F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Анализът на практиката показва, че успешните кандидатури споделят няколко общи характеристики, които могат да бъдат разглеждани като фактори за успех.</w:t>
      </w:r>
    </w:p>
    <w:p w14:paraId="0563533E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На първо място, това е ясното съответствие между проектната идея и целите на програмата. Проекти, които демонстрират разбиране на контекста и предлагат адекватни решения, имат по-голям шанс за одобрение.</w:t>
      </w:r>
    </w:p>
    <w:p w14:paraId="4E7D2E5D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Важен фактор е и реалистичната оценка на собствените възможности. Организации, които кандидатстват в рамките на своя капацитет, са по-успешни от тези, които поемат прекомерни ангажименти.</w:t>
      </w:r>
    </w:p>
    <w:p w14:paraId="33689282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Съществено значение има и наличието на подходящи партньори, когато това се изисква. Добре подбраното партньорство може да повиши качеството и устойчивостта на проекта.</w:t>
      </w:r>
    </w:p>
    <w:p w14:paraId="4DC94E35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Не на последно място, успешните кандидати подхождат систематично към процеса, като отделят достатъчно време за подготовка и избягват работа в последния момент.</w:t>
      </w:r>
    </w:p>
    <w:p w14:paraId="3ECA1DF2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6AEBACD2" w14:textId="77777777" w:rsidR="007469AF" w:rsidRDefault="007469AF" w:rsidP="007469AF">
      <w:pPr>
        <w:widowControl w:val="0"/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 w:hanging="1156"/>
        <w:jc w:val="both"/>
        <w:rPr>
          <w:rFonts w:ascii="Trebuchet MS" w:eastAsia="Times New Roman" w:hAnsi="Trebuchet MS"/>
          <w:b/>
          <w:color w:val="154E81"/>
          <w:kern w:val="0"/>
        </w:rPr>
      </w:pPr>
      <w:r>
        <w:rPr>
          <w:rFonts w:ascii="Trebuchet MS" w:eastAsia="Times New Roman" w:hAnsi="Trebuchet MS"/>
          <w:b/>
          <w:color w:val="154E81"/>
          <w:kern w:val="0"/>
        </w:rPr>
        <w:t>ЧЕСТИ ГРЕШКИ ПРИ ВЗЕМАНЕ НА РЕШЕНИЕ ЗА КАНДИДАТСТВАНЕ</w:t>
      </w:r>
    </w:p>
    <w:p w14:paraId="6E51E14F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286C"/>
          <w:kern w:val="0"/>
        </w:rPr>
      </w:pPr>
    </w:p>
    <w:p w14:paraId="563D78A0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Една от най-разпространените грешки е изборът на покана въз основа на размера на бюджета, без да се отчита съответствието с изискванията. Това често води до кандидатстване по неподходящи процедури.</w:t>
      </w:r>
    </w:p>
    <w:p w14:paraId="0F4985BE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Друга честа грешка е подценяването на административните и техническите изисквания, което може да създаде сериозни затруднения в процеса на кандидатстване.</w:t>
      </w:r>
    </w:p>
    <w:p w14:paraId="129C87EB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1A16F733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Наблюдава се и тенденция към надценяване на капацитета на организацията, особено при участие в по-сложни международни проекти. Това увеличава риска от неуспех още на етап оценка.</w:t>
      </w:r>
    </w:p>
    <w:p w14:paraId="7E16152C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Липсата на достатъчно време за подготовка също представлява съществен риск. Работата в последния момент често води до пропуски и грешки.</w:t>
      </w:r>
    </w:p>
    <w:p w14:paraId="30373B49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51EA3490" w14:textId="77777777" w:rsidR="007469AF" w:rsidRDefault="007469AF" w:rsidP="007469AF">
      <w:pPr>
        <w:widowControl w:val="0"/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 w:hanging="1156"/>
        <w:jc w:val="both"/>
        <w:rPr>
          <w:rFonts w:ascii="Trebuchet MS" w:eastAsia="Times New Roman" w:hAnsi="Trebuchet MS"/>
          <w:b/>
          <w:color w:val="154E81"/>
          <w:kern w:val="0"/>
        </w:rPr>
      </w:pPr>
      <w:r>
        <w:rPr>
          <w:rFonts w:ascii="Trebuchet MS" w:eastAsia="Times New Roman" w:hAnsi="Trebuchet MS"/>
          <w:b/>
          <w:color w:val="154E81"/>
          <w:kern w:val="0"/>
        </w:rPr>
        <w:t>ДОБРИ ПРАКТИКИ ПРИ ИЗБОР НА ПРОГРАМА И КАНДИДАТСТВАНЕ</w:t>
      </w:r>
    </w:p>
    <w:p w14:paraId="20EF585F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/>
          <w:bCs/>
          <w:color w:val="000066"/>
          <w:kern w:val="0"/>
        </w:rPr>
      </w:pPr>
    </w:p>
    <w:p w14:paraId="191E091C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66"/>
          <w:kern w:val="0"/>
        </w:rPr>
        <w:t xml:space="preserve">    </w:t>
      </w:r>
      <w:r>
        <w:rPr>
          <w:rFonts w:ascii="Trebuchet MS" w:eastAsia="Times New Roman" w:hAnsi="Trebuchet MS"/>
          <w:bCs/>
          <w:color w:val="000000"/>
          <w:kern w:val="0"/>
        </w:rPr>
        <w:t xml:space="preserve">Добрата подготовка и правилният избор на програма са ключови фактори за успешно участие в процедури за финансиране от ЕС. В практиката се </w:t>
      </w:r>
      <w:r>
        <w:rPr>
          <w:rFonts w:ascii="Trebuchet MS" w:eastAsia="Times New Roman" w:hAnsi="Trebuchet MS"/>
          <w:bCs/>
          <w:color w:val="000000"/>
          <w:kern w:val="0"/>
        </w:rPr>
        <w:lastRenderedPageBreak/>
        <w:t>прилагат следните основни добри практики:</w:t>
      </w:r>
    </w:p>
    <w:p w14:paraId="30502D6C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color w:val="000000"/>
          <w:kern w:val="0"/>
        </w:rPr>
      </w:pPr>
    </w:p>
    <w:p w14:paraId="0EEB4F32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 xml:space="preserve">• </w:t>
      </w:r>
      <w:r>
        <w:rPr>
          <w:rFonts w:ascii="Trebuchet MS" w:eastAsia="Times New Roman" w:hAnsi="Trebuchet MS"/>
          <w:b/>
          <w:color w:val="000000"/>
          <w:kern w:val="0"/>
        </w:rPr>
        <w:t>Ясно съответствие между идеята и приоритетите на програмата</w:t>
      </w:r>
    </w:p>
    <w:p w14:paraId="7449E529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Проектната идея следва да бъде пряко свързана с целите и приоритетите на конкретната програма или покана.</w:t>
      </w:r>
    </w:p>
    <w:p w14:paraId="51E95858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color w:val="000000"/>
          <w:kern w:val="0"/>
        </w:rPr>
      </w:pPr>
    </w:p>
    <w:p w14:paraId="7FEF0AF2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 xml:space="preserve">• </w:t>
      </w:r>
      <w:r>
        <w:rPr>
          <w:rFonts w:ascii="Trebuchet MS" w:eastAsia="Times New Roman" w:hAnsi="Trebuchet MS"/>
          <w:b/>
          <w:color w:val="000000"/>
          <w:kern w:val="0"/>
        </w:rPr>
        <w:t>Реалистична оценка на капацитета на организацията</w:t>
      </w:r>
    </w:p>
    <w:p w14:paraId="1083E419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Преди кандидатстване е необходимо да се прецени дали организацията разполага с необходимите ресурси, опит и партньорства.</w:t>
      </w:r>
    </w:p>
    <w:p w14:paraId="2ED24210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color w:val="000000"/>
          <w:kern w:val="0"/>
        </w:rPr>
      </w:pPr>
    </w:p>
    <w:p w14:paraId="533D3561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 xml:space="preserve">• </w:t>
      </w:r>
      <w:r>
        <w:rPr>
          <w:rFonts w:ascii="Trebuchet MS" w:eastAsia="Times New Roman" w:hAnsi="Trebuchet MS"/>
          <w:b/>
          <w:color w:val="000000"/>
          <w:kern w:val="0"/>
        </w:rPr>
        <w:t>Внимателен анализ на изискванията на поканата</w:t>
      </w:r>
    </w:p>
    <w:p w14:paraId="6E35B4B5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Всички условия за допустимост, критерии за оценка и изисквания към кандидатите трябва да бъдат ясно разбрани и съобразени.</w:t>
      </w:r>
    </w:p>
    <w:p w14:paraId="1D62883B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color w:val="000000"/>
          <w:kern w:val="0"/>
        </w:rPr>
      </w:pPr>
    </w:p>
    <w:p w14:paraId="6810F84D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 xml:space="preserve">• </w:t>
      </w:r>
      <w:r>
        <w:rPr>
          <w:rFonts w:ascii="Trebuchet MS" w:eastAsia="Times New Roman" w:hAnsi="Trebuchet MS"/>
          <w:b/>
          <w:color w:val="000000"/>
          <w:kern w:val="0"/>
        </w:rPr>
        <w:t>Избор на подходящи партньори (при необходимост)</w:t>
      </w:r>
    </w:p>
    <w:p w14:paraId="6E129D01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При програми, изискващи партньорство, е важно да се подберат организации с допълващ капацитет и опит.</w:t>
      </w:r>
    </w:p>
    <w:p w14:paraId="5B1E12F1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color w:val="000000"/>
          <w:kern w:val="0"/>
        </w:rPr>
      </w:pPr>
    </w:p>
    <w:p w14:paraId="2BC990D4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 xml:space="preserve">• </w:t>
      </w:r>
      <w:r>
        <w:rPr>
          <w:rFonts w:ascii="Trebuchet MS" w:eastAsia="Times New Roman" w:hAnsi="Trebuchet MS"/>
          <w:b/>
          <w:color w:val="000000"/>
          <w:kern w:val="0"/>
        </w:rPr>
        <w:t>Фокус върху добавената стойност и въздействието</w:t>
      </w:r>
    </w:p>
    <w:p w14:paraId="6EC5D05B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Проектът трябва да показва ясно как допринася за решаване на конкретен проблем и какъв ефект ще има.</w:t>
      </w:r>
    </w:p>
    <w:p w14:paraId="35D72DDE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color w:val="000000"/>
          <w:kern w:val="0"/>
        </w:rPr>
      </w:pPr>
    </w:p>
    <w:p w14:paraId="1B076C67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 xml:space="preserve">• </w:t>
      </w:r>
      <w:r>
        <w:rPr>
          <w:rFonts w:ascii="Trebuchet MS" w:eastAsia="Times New Roman" w:hAnsi="Trebuchet MS"/>
          <w:b/>
          <w:color w:val="000000"/>
          <w:kern w:val="0"/>
        </w:rPr>
        <w:t>Избягване на често срещани грешки</w:t>
      </w:r>
    </w:p>
    <w:p w14:paraId="06D65B3A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Като несъответствие с приоритетите, нереалистични дейности, липса на аргументация или непълно разбиране на поканата.</w:t>
      </w:r>
    </w:p>
    <w:p w14:paraId="68766F33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color w:val="000000"/>
          <w:kern w:val="0"/>
        </w:rPr>
      </w:pPr>
    </w:p>
    <w:p w14:paraId="2294DB09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 xml:space="preserve">• </w:t>
      </w:r>
      <w:r>
        <w:rPr>
          <w:rFonts w:ascii="Trebuchet MS" w:eastAsia="Times New Roman" w:hAnsi="Trebuchet MS"/>
          <w:b/>
          <w:color w:val="000000"/>
          <w:kern w:val="0"/>
        </w:rPr>
        <w:t>Ранна подготовка и планиране</w:t>
      </w:r>
    </w:p>
    <w:p w14:paraId="43A3A423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Подготовката за кандидатстване следва да започне достатъчно рано, с ясно разпределение на задачи и отговорности.</w:t>
      </w:r>
    </w:p>
    <w:p w14:paraId="77DCB192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color w:val="000066"/>
          <w:kern w:val="0"/>
        </w:rPr>
      </w:pPr>
    </w:p>
    <w:p w14:paraId="68952C97" w14:textId="77777777" w:rsidR="007469AF" w:rsidRDefault="007469AF" w:rsidP="007469AF">
      <w:pPr>
        <w:widowControl w:val="0"/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 w:hanging="1014"/>
        <w:jc w:val="both"/>
        <w:rPr>
          <w:rFonts w:ascii="Trebuchet MS" w:eastAsia="Times New Roman" w:hAnsi="Trebuchet MS"/>
          <w:b/>
          <w:color w:val="154E81"/>
          <w:kern w:val="0"/>
        </w:rPr>
      </w:pPr>
      <w:r>
        <w:rPr>
          <w:rFonts w:ascii="Trebuchet MS" w:eastAsia="Times New Roman" w:hAnsi="Trebuchet MS"/>
          <w:b/>
          <w:color w:val="154E81"/>
          <w:kern w:val="0"/>
        </w:rPr>
        <w:t>ДОБРИ ПРАКТИКИ ЗА ПИСАНЕ НА ПРОЕКТИ</w:t>
      </w:r>
    </w:p>
    <w:p w14:paraId="3DDC951E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/>
          <w:color w:val="000000"/>
          <w:kern w:val="0"/>
        </w:rPr>
        <w:t xml:space="preserve"> </w:t>
      </w:r>
      <w:r>
        <w:rPr>
          <w:rFonts w:ascii="Trebuchet MS" w:eastAsia="Times New Roman" w:hAnsi="Trebuchet MS"/>
          <w:bCs/>
          <w:color w:val="000000"/>
          <w:kern w:val="0"/>
        </w:rPr>
        <w:t>Настоящата тема представя основни добри практики при писане на проектни предложения, без да разглежда в детайли процеса на тяхното разработване. Целта е обучаемите да придобият базово разбиране за структурата и логиката на успешните проектни предложения.</w:t>
      </w:r>
    </w:p>
    <w:p w14:paraId="525167D4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284" w:right="3"/>
        <w:jc w:val="both"/>
        <w:rPr>
          <w:rFonts w:ascii="Trebuchet MS" w:eastAsia="Times New Roman" w:hAnsi="Trebuchet MS"/>
          <w:bCs/>
          <w:color w:val="000000"/>
          <w:kern w:val="0"/>
        </w:rPr>
      </w:pPr>
    </w:p>
    <w:p w14:paraId="1809183E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Сред ключовите добри практики се открояват:</w:t>
      </w:r>
    </w:p>
    <w:p w14:paraId="2FF3CF67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</w:p>
    <w:p w14:paraId="376863D5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  <w:r>
        <w:rPr>
          <w:rFonts w:ascii="Trebuchet MS" w:eastAsia="Times New Roman" w:hAnsi="Trebuchet MS"/>
          <w:b/>
          <w:color w:val="000000"/>
          <w:kern w:val="0"/>
        </w:rPr>
        <w:t>• Ясно формулиране на проблема и целите</w:t>
      </w:r>
    </w:p>
    <w:p w14:paraId="3ACAABCF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Проектното предложение следва да адресира конкретен проблем и да съдържа ясно дефинирани, измерими и постижими цели.</w:t>
      </w:r>
    </w:p>
    <w:p w14:paraId="0C2DFE57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</w:p>
    <w:p w14:paraId="5B8316C9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  <w:r>
        <w:rPr>
          <w:rFonts w:ascii="Trebuchet MS" w:eastAsia="Times New Roman" w:hAnsi="Trebuchet MS"/>
          <w:b/>
          <w:color w:val="000000"/>
          <w:kern w:val="0"/>
        </w:rPr>
        <w:t>• Съответствие с приоритетите на програмата</w:t>
      </w:r>
    </w:p>
    <w:p w14:paraId="4F0E0C4A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Всички дейности и резултати трябва да бъдат пряко свързани с целите и приоритетите на съответната програма или покана.</w:t>
      </w:r>
    </w:p>
    <w:p w14:paraId="68FA429B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</w:p>
    <w:p w14:paraId="63DA1856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  <w:r>
        <w:rPr>
          <w:rFonts w:ascii="Trebuchet MS" w:eastAsia="Times New Roman" w:hAnsi="Trebuchet MS"/>
          <w:b/>
          <w:color w:val="000000"/>
          <w:kern w:val="0"/>
        </w:rPr>
        <w:t>• Логическа последователност на проекта</w:t>
      </w:r>
    </w:p>
    <w:p w14:paraId="40E487E3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lastRenderedPageBreak/>
        <w:t>Необходимо е да има ясна връзка между проблем, цели, дейности, резултати и въздействие.</w:t>
      </w:r>
    </w:p>
    <w:p w14:paraId="1A3DF7D8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</w:p>
    <w:p w14:paraId="5659CDEB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  <w:r>
        <w:rPr>
          <w:rFonts w:ascii="Trebuchet MS" w:eastAsia="Times New Roman" w:hAnsi="Trebuchet MS"/>
          <w:b/>
          <w:color w:val="000000"/>
          <w:kern w:val="0"/>
        </w:rPr>
        <w:t>• Реалистично планиране</w:t>
      </w:r>
    </w:p>
    <w:p w14:paraId="4E3D8FE7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Проектът трябва да предвижда изпълними дейности, реалистични срокове и съобразяване с наличния капацитет на организацията</w:t>
      </w:r>
      <w:r>
        <w:rPr>
          <w:rFonts w:ascii="Trebuchet MS" w:eastAsia="Times New Roman" w:hAnsi="Trebuchet MS"/>
          <w:b/>
          <w:color w:val="000000"/>
          <w:kern w:val="0"/>
        </w:rPr>
        <w:t>.</w:t>
      </w:r>
    </w:p>
    <w:p w14:paraId="2AC68176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</w:p>
    <w:p w14:paraId="1C615EF7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  <w:r>
        <w:rPr>
          <w:rFonts w:ascii="Trebuchet MS" w:eastAsia="Times New Roman" w:hAnsi="Trebuchet MS"/>
          <w:b/>
          <w:color w:val="000000"/>
          <w:kern w:val="0"/>
        </w:rPr>
        <w:t>• Фокус върху въздействие и устойчивост</w:t>
      </w:r>
    </w:p>
    <w:p w14:paraId="5E84EE10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Важно е да се покаже как проектът ще допринесе за решаване на проблема и как резултатите ще се запазят след приключване на финансирането.</w:t>
      </w:r>
    </w:p>
    <w:p w14:paraId="2CADCED4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</w:p>
    <w:p w14:paraId="22E46DE3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  <w:r>
        <w:rPr>
          <w:rFonts w:ascii="Trebuchet MS" w:eastAsia="Times New Roman" w:hAnsi="Trebuchet MS"/>
          <w:b/>
          <w:color w:val="000000"/>
          <w:kern w:val="0"/>
        </w:rPr>
        <w:t>• Ясна и аргументирана логика</w:t>
      </w:r>
    </w:p>
    <w:p w14:paraId="30587342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Проектното предложение трябва да бъде структурирано, разбираемо и убедително за оценителите.</w:t>
      </w:r>
    </w:p>
    <w:p w14:paraId="4C4A83FE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</w:p>
    <w:p w14:paraId="61B67905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  <w:r>
        <w:rPr>
          <w:rFonts w:ascii="Trebuchet MS" w:eastAsia="Times New Roman" w:hAnsi="Trebuchet MS"/>
          <w:b/>
          <w:color w:val="000000"/>
          <w:kern w:val="0"/>
        </w:rPr>
        <w:t>• Избягване на често срещани грешки</w:t>
      </w:r>
    </w:p>
    <w:p w14:paraId="304D952D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Като липса на връзка с приоритетите, неясни цели, нереалистични дейности или недостатъчна аргументация.</w:t>
      </w:r>
    </w:p>
    <w:p w14:paraId="2B60A974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</w:p>
    <w:p w14:paraId="36519345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  <w:r>
        <w:rPr>
          <w:rFonts w:ascii="Trebuchet MS" w:eastAsia="Times New Roman" w:hAnsi="Trebuchet MS"/>
          <w:b/>
          <w:color w:val="000000"/>
          <w:kern w:val="0"/>
        </w:rPr>
        <w:t>Примери от практиката:</w:t>
      </w:r>
    </w:p>
    <w:p w14:paraId="728B8685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</w:p>
    <w:p w14:paraId="6DB48EF4" w14:textId="77777777" w:rsidR="007469AF" w:rsidRDefault="007469AF" w:rsidP="007469AF">
      <w:pPr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/>
          <w:b/>
          <w:color w:val="000000"/>
          <w:kern w:val="0"/>
        </w:rPr>
      </w:pPr>
      <w:r>
        <w:rPr>
          <w:rFonts w:ascii="Trebuchet MS" w:eastAsia="Times New Roman" w:hAnsi="Trebuchet MS"/>
          <w:b/>
          <w:color w:val="000000"/>
          <w:kern w:val="0"/>
        </w:rPr>
        <w:t>Пример 1: Формулиране на цел</w:t>
      </w:r>
    </w:p>
    <w:p w14:paraId="42DD238C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</w:p>
    <w:p w14:paraId="38A983E8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  <w:r>
        <w:rPr>
          <w:rFonts w:ascii="Trebuchet MS" w:eastAsia="Times New Roman" w:hAnsi="Trebuchet MS" w:cs="Trebuchet MS"/>
          <w:b/>
          <w:color w:val="000000"/>
          <w:kern w:val="0"/>
        </w:rPr>
        <w:t>Неподходящо</w:t>
      </w:r>
      <w:r>
        <w:rPr>
          <w:rFonts w:ascii="Trebuchet MS" w:eastAsia="Times New Roman" w:hAnsi="Trebuchet MS"/>
          <w:b/>
          <w:color w:val="000000"/>
          <w:kern w:val="0"/>
        </w:rPr>
        <w:t>:</w:t>
      </w:r>
    </w:p>
    <w:p w14:paraId="5A363126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„Подобряване на условията за младежи“</w:t>
      </w:r>
    </w:p>
    <w:p w14:paraId="6C085EC9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</w:p>
    <w:p w14:paraId="18293903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  <w:r>
        <w:rPr>
          <w:rFonts w:ascii="Trebuchet MS" w:eastAsia="Times New Roman" w:hAnsi="Trebuchet MS" w:cs="Trebuchet MS"/>
          <w:b/>
          <w:color w:val="000000"/>
          <w:kern w:val="0"/>
        </w:rPr>
        <w:t>Подходящо</w:t>
      </w:r>
      <w:r>
        <w:rPr>
          <w:rFonts w:ascii="Trebuchet MS" w:eastAsia="Times New Roman" w:hAnsi="Trebuchet MS"/>
          <w:b/>
          <w:color w:val="000000"/>
          <w:kern w:val="0"/>
        </w:rPr>
        <w:t>:</w:t>
      </w:r>
    </w:p>
    <w:p w14:paraId="007CE277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„Подобряване на социалните и комуникационни умения на 30 младежи чрез провеждане на 5 обучителни сесии в рамките на 3 месеца“</w:t>
      </w:r>
    </w:p>
    <w:p w14:paraId="52088F73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</w:p>
    <w:p w14:paraId="2D740CAA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  <w:r>
        <w:rPr>
          <w:rFonts w:ascii="Trebuchet MS" w:eastAsia="Times New Roman" w:hAnsi="Trebuchet MS"/>
          <w:b/>
          <w:color w:val="000000"/>
          <w:kern w:val="0"/>
        </w:rPr>
        <w:t>Извод: Целите трябва да бъдат конкретни и измерими.</w:t>
      </w:r>
    </w:p>
    <w:p w14:paraId="5816AB8D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</w:p>
    <w:p w14:paraId="78C0193C" w14:textId="77777777" w:rsidR="007469AF" w:rsidRDefault="007469AF" w:rsidP="007469AF">
      <w:pPr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/>
          <w:b/>
          <w:color w:val="000000"/>
          <w:kern w:val="0"/>
        </w:rPr>
      </w:pPr>
      <w:r>
        <w:rPr>
          <w:rFonts w:ascii="Trebuchet MS" w:eastAsia="Times New Roman" w:hAnsi="Trebuchet MS"/>
          <w:b/>
          <w:color w:val="000000"/>
          <w:kern w:val="0"/>
        </w:rPr>
        <w:t>Пример 2: Съответствие с програмата</w:t>
      </w:r>
    </w:p>
    <w:p w14:paraId="7C950AE7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</w:p>
    <w:p w14:paraId="7CD046B6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  <w:r>
        <w:rPr>
          <w:rFonts w:ascii="Trebuchet MS" w:eastAsia="Times New Roman" w:hAnsi="Trebuchet MS" w:cs="Trebuchet MS"/>
          <w:b/>
          <w:color w:val="000000"/>
          <w:kern w:val="0"/>
        </w:rPr>
        <w:t>Неподходящо</w:t>
      </w:r>
      <w:r>
        <w:rPr>
          <w:rFonts w:ascii="Trebuchet MS" w:eastAsia="Times New Roman" w:hAnsi="Trebuchet MS"/>
          <w:b/>
          <w:color w:val="000000"/>
          <w:kern w:val="0"/>
        </w:rPr>
        <w:t>:</w:t>
      </w:r>
    </w:p>
    <w:p w14:paraId="5D35ABA0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Проект за ремонт на сграда по програма Erasmus+</w:t>
      </w:r>
    </w:p>
    <w:p w14:paraId="6F060E89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</w:p>
    <w:p w14:paraId="56688FCF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  <w:r>
        <w:rPr>
          <w:rFonts w:ascii="Trebuchet MS" w:eastAsia="Times New Roman" w:hAnsi="Trebuchet MS" w:cs="Trebuchet MS"/>
          <w:b/>
          <w:color w:val="000000"/>
          <w:kern w:val="0"/>
        </w:rPr>
        <w:t>Подходящо</w:t>
      </w:r>
      <w:r>
        <w:rPr>
          <w:rFonts w:ascii="Trebuchet MS" w:eastAsia="Times New Roman" w:hAnsi="Trebuchet MS"/>
          <w:b/>
          <w:color w:val="000000"/>
          <w:kern w:val="0"/>
        </w:rPr>
        <w:t>:</w:t>
      </w:r>
    </w:p>
    <w:p w14:paraId="0461E3BA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Проект за младежки обмен с обучителен елемент и участие на млади хора</w:t>
      </w:r>
    </w:p>
    <w:p w14:paraId="3A69FCC9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</w:p>
    <w:p w14:paraId="0F1376ED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  <w:r>
        <w:rPr>
          <w:rFonts w:ascii="Trebuchet MS" w:eastAsia="Times New Roman" w:hAnsi="Trebuchet MS"/>
          <w:b/>
          <w:color w:val="000000"/>
          <w:kern w:val="0"/>
        </w:rPr>
        <w:t>Извод: Проектът трябва да съответства на целите на програмата.</w:t>
      </w:r>
    </w:p>
    <w:p w14:paraId="78C615A5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</w:p>
    <w:p w14:paraId="623959F1" w14:textId="77777777" w:rsidR="007469AF" w:rsidRDefault="007469AF" w:rsidP="007469AF">
      <w:pPr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/>
          <w:b/>
          <w:color w:val="000000"/>
          <w:kern w:val="0"/>
        </w:rPr>
      </w:pPr>
      <w:r>
        <w:rPr>
          <w:rFonts w:ascii="Trebuchet MS" w:eastAsia="Times New Roman" w:hAnsi="Trebuchet MS"/>
          <w:b/>
          <w:color w:val="000000"/>
          <w:kern w:val="0"/>
        </w:rPr>
        <w:t>Пример 3: Логика на дейностите</w:t>
      </w:r>
    </w:p>
    <w:p w14:paraId="4D3C6E42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</w:p>
    <w:p w14:paraId="225EAF8C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  <w:r>
        <w:rPr>
          <w:rFonts w:ascii="Trebuchet MS" w:eastAsia="Times New Roman" w:hAnsi="Trebuchet MS" w:cs="Trebuchet MS"/>
          <w:b/>
          <w:color w:val="000000"/>
          <w:kern w:val="0"/>
        </w:rPr>
        <w:t>Неподходящо</w:t>
      </w:r>
      <w:r>
        <w:rPr>
          <w:rFonts w:ascii="Trebuchet MS" w:eastAsia="Times New Roman" w:hAnsi="Trebuchet MS"/>
          <w:b/>
          <w:color w:val="000000"/>
          <w:kern w:val="0"/>
        </w:rPr>
        <w:t>:</w:t>
      </w:r>
    </w:p>
    <w:p w14:paraId="258151F9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Дейности без връзка – семинар, кампания, срещи</w:t>
      </w:r>
    </w:p>
    <w:p w14:paraId="6D327534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Cs/>
          <w:color w:val="000000"/>
          <w:kern w:val="0"/>
        </w:rPr>
      </w:pPr>
    </w:p>
    <w:p w14:paraId="43C72B20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  <w:r>
        <w:rPr>
          <w:rFonts w:ascii="Segoe UI Emoji" w:eastAsia="Times New Roman" w:hAnsi="Segoe UI Emoji" w:cs="Segoe UI Emoji"/>
          <w:b/>
          <w:color w:val="000000"/>
          <w:kern w:val="0"/>
        </w:rPr>
        <w:lastRenderedPageBreak/>
        <w:t>✔️</w:t>
      </w:r>
      <w:r>
        <w:rPr>
          <w:rFonts w:ascii="Trebuchet MS" w:eastAsia="Times New Roman" w:hAnsi="Trebuchet MS"/>
          <w:b/>
          <w:color w:val="000000"/>
          <w:kern w:val="0"/>
        </w:rPr>
        <w:t xml:space="preserve"> </w:t>
      </w:r>
      <w:r>
        <w:rPr>
          <w:rFonts w:ascii="Trebuchet MS" w:eastAsia="Times New Roman" w:hAnsi="Trebuchet MS" w:cs="Trebuchet MS"/>
          <w:b/>
          <w:color w:val="000000"/>
          <w:kern w:val="0"/>
        </w:rPr>
        <w:t>Подходящо</w:t>
      </w:r>
      <w:r>
        <w:rPr>
          <w:rFonts w:ascii="Trebuchet MS" w:eastAsia="Times New Roman" w:hAnsi="Trebuchet MS"/>
          <w:b/>
          <w:color w:val="000000"/>
          <w:kern w:val="0"/>
        </w:rPr>
        <w:t>:</w:t>
      </w:r>
    </w:p>
    <w:p w14:paraId="4ACE3F5E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</w:p>
    <w:p w14:paraId="6561E3B2" w14:textId="77777777" w:rsidR="007469AF" w:rsidRDefault="007469AF" w:rsidP="007469AF">
      <w:pPr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Обучение</w:t>
      </w:r>
    </w:p>
    <w:p w14:paraId="776908BD" w14:textId="77777777" w:rsidR="007469AF" w:rsidRDefault="007469AF" w:rsidP="007469AF">
      <w:pPr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Практически дейности</w:t>
      </w:r>
    </w:p>
    <w:p w14:paraId="13813C24" w14:textId="77777777" w:rsidR="007469AF" w:rsidRDefault="007469AF" w:rsidP="007469AF">
      <w:pPr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/>
          <w:bCs/>
          <w:color w:val="000000"/>
          <w:kern w:val="0"/>
        </w:rPr>
      </w:pPr>
      <w:r>
        <w:rPr>
          <w:rFonts w:ascii="Trebuchet MS" w:eastAsia="Times New Roman" w:hAnsi="Trebuchet MS"/>
          <w:bCs/>
          <w:color w:val="000000"/>
          <w:kern w:val="0"/>
        </w:rPr>
        <w:t>Разпространение на резултати</w:t>
      </w:r>
    </w:p>
    <w:p w14:paraId="5FECDFC2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ascii="Trebuchet MS" w:eastAsia="Times New Roman" w:hAnsi="Trebuchet MS"/>
          <w:b/>
          <w:color w:val="000000"/>
          <w:kern w:val="0"/>
        </w:rPr>
      </w:pPr>
    </w:p>
    <w:p w14:paraId="1D50F589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/>
        <w:jc w:val="both"/>
        <w:rPr>
          <w:rFonts w:ascii="Trebuchet MS" w:eastAsia="Times New Roman" w:hAnsi="Trebuchet MS"/>
          <w:b/>
          <w:color w:val="000000"/>
          <w:kern w:val="0"/>
        </w:rPr>
      </w:pPr>
      <w:r>
        <w:rPr>
          <w:rFonts w:ascii="Trebuchet MS" w:eastAsia="Times New Roman" w:hAnsi="Trebuchet MS"/>
          <w:b/>
          <w:color w:val="000000"/>
          <w:kern w:val="0"/>
        </w:rPr>
        <w:t>Извод: Дейностите трябва да са логически свързани и последователни.</w:t>
      </w:r>
    </w:p>
    <w:p w14:paraId="45E85D5D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720" w:right="3"/>
        <w:jc w:val="both"/>
        <w:rPr>
          <w:rFonts w:eastAsia="Times New Roman"/>
          <w:b/>
          <w:color w:val="000000"/>
          <w:kern w:val="0"/>
        </w:rPr>
      </w:pPr>
    </w:p>
    <w:p w14:paraId="7E529565" w14:textId="77777777" w:rsidR="007469AF" w:rsidRDefault="007469AF" w:rsidP="007469AF">
      <w:pPr>
        <w:widowControl w:val="0"/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 w:hanging="1014"/>
        <w:jc w:val="both"/>
        <w:rPr>
          <w:rFonts w:ascii="Trebuchet MS" w:eastAsia="Times New Roman" w:hAnsi="Trebuchet MS"/>
          <w:b/>
          <w:color w:val="00286C"/>
          <w:kern w:val="0"/>
        </w:rPr>
      </w:pPr>
      <w:r>
        <w:rPr>
          <w:rFonts w:ascii="Trebuchet MS" w:eastAsia="Times New Roman" w:hAnsi="Trebuchet MS"/>
          <w:b/>
          <w:color w:val="00286C"/>
          <w:kern w:val="0"/>
        </w:rPr>
        <w:t>ВЗЕМАНЕ НА ИНФОРМИРАНО РЕШЕНИЕ ЗА КАНДИДАТСТВАНЕ</w:t>
      </w:r>
    </w:p>
    <w:p w14:paraId="413A3103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/>
          <w:kern w:val="0"/>
        </w:rPr>
      </w:pPr>
    </w:p>
    <w:p w14:paraId="70771A87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Въз основа на разгледаните елементи, вземането на решение за кандидатстване следва да бъде резултат от систематичен анализ.</w:t>
      </w:r>
    </w:p>
    <w:p w14:paraId="2441901A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В този контекст анализът може да бъде структуриран чрез поставяне на няколко ключови въпроса:</w:t>
      </w:r>
    </w:p>
    <w:p w14:paraId="0241EE05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– преценка на допустимостта на организацията;</w:t>
      </w:r>
    </w:p>
    <w:p w14:paraId="3654EE9D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– оценка на съответствието между проектната идея и целите на поканата;</w:t>
      </w:r>
    </w:p>
    <w:p w14:paraId="7352CABC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– анализ на наличния организационен капацитет;</w:t>
      </w:r>
    </w:p>
    <w:p w14:paraId="4A388D00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– установяване на необходимостта от партньорства;</w:t>
      </w:r>
    </w:p>
    <w:p w14:paraId="768618D5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– оценка на наличното време за подготовка.</w:t>
      </w:r>
    </w:p>
    <w:p w14:paraId="1173896F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Положителният отговор на тези въпроси е предпоставка за вземане на решение за участие. В противен случай е по-целесъобразно да се изчака по-подходяща възможност.</w:t>
      </w:r>
    </w:p>
    <w:p w14:paraId="186C2A17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089761C4" w14:textId="77777777" w:rsidR="007469AF" w:rsidRDefault="007469AF" w:rsidP="007469AF">
      <w:pPr>
        <w:widowControl w:val="0"/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 w:hanging="1014"/>
        <w:jc w:val="both"/>
        <w:rPr>
          <w:rFonts w:ascii="Trebuchet MS" w:eastAsia="Times New Roman" w:hAnsi="Trebuchet MS"/>
          <w:b/>
          <w:color w:val="00286C"/>
          <w:kern w:val="0"/>
        </w:rPr>
      </w:pPr>
      <w:r>
        <w:rPr>
          <w:rFonts w:ascii="Trebuchet MS" w:eastAsia="Times New Roman" w:hAnsi="Trebuchet MS"/>
          <w:b/>
          <w:color w:val="00286C"/>
          <w:kern w:val="0"/>
        </w:rPr>
        <w:t>ПРАКТИЧЕСКО ПРИЛОЖЕНИЕ НА ЗНАНИЯТА</w:t>
      </w:r>
    </w:p>
    <w:p w14:paraId="328E5287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В заключителния етап е необходимо да се приложат придобитите знания чрез анализ на реални покани и вземане на аргументирано решение за кандидатстване.</w:t>
      </w:r>
    </w:p>
    <w:p w14:paraId="1900D2F9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Този процес включва последователно идентифициране на подходяща покана, оценка на съответствието с организационния профил и формулиране на обосновано становище относно участието.</w:t>
      </w:r>
    </w:p>
    <w:p w14:paraId="4FAA4A56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Практическото приложение затвърждава разбирането за логиката на финансирането и подпомага развитието на умения за самостоятелна работа.</w:t>
      </w:r>
    </w:p>
    <w:p w14:paraId="52F2A1B4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413255C6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/>
          <w:kern w:val="0"/>
          <w:u w:val="single"/>
        </w:rPr>
      </w:pPr>
      <w:r>
        <w:rPr>
          <w:rFonts w:ascii="Trebuchet MS" w:eastAsia="Times New Roman" w:hAnsi="Trebuchet MS"/>
          <w:b/>
          <w:kern w:val="0"/>
          <w:u w:val="single"/>
        </w:rPr>
        <w:t>МОДЕЛ ЗА ВЗЕМАНЕ НА РЕШЕНИЕ</w:t>
      </w:r>
    </w:p>
    <w:p w14:paraId="43116F89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1. Имаме ли ясна идея?</w:t>
      </w:r>
    </w:p>
    <w:p w14:paraId="0EF0B61C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2. Какъв тип дейност е?</w:t>
      </w:r>
    </w:p>
    <w:p w14:paraId="438713C2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3. Коя програма отговаря на тази дейност?</w:t>
      </w:r>
    </w:p>
    <w:p w14:paraId="300DCD2C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4. Има ли подходяща покана?</w:t>
      </w:r>
    </w:p>
    <w:p w14:paraId="1C84E6B4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5. Отговаряме ли на условията (допустимост)?</w:t>
      </w:r>
    </w:p>
    <w:p w14:paraId="31935970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6. Имаме ли капацитет да изпълним проекта?</w:t>
      </w:r>
    </w:p>
    <w:p w14:paraId="7CDAF38D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7. Какви са основните рискове?</w:t>
      </w:r>
    </w:p>
    <w:p w14:paraId="76BE6E91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8. Реалистично ли е да кандидатстваме?</w:t>
      </w:r>
    </w:p>
    <w:p w14:paraId="02A4A4BE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0150CE71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 w:cs="Trebuchet MS"/>
          <w:bCs/>
          <w:kern w:val="0"/>
        </w:rPr>
        <w:t>АКО</w:t>
      </w:r>
      <w:r>
        <w:rPr>
          <w:rFonts w:ascii="Trebuchet MS" w:eastAsia="Times New Roman" w:hAnsi="Trebuchet MS"/>
          <w:bCs/>
          <w:kern w:val="0"/>
        </w:rPr>
        <w:t xml:space="preserve"> </w:t>
      </w:r>
      <w:r>
        <w:rPr>
          <w:rFonts w:ascii="Trebuchet MS" w:eastAsia="Times New Roman" w:hAnsi="Trebuchet MS" w:cs="Trebuchet MS"/>
          <w:bCs/>
          <w:kern w:val="0"/>
        </w:rPr>
        <w:t>отговорите</w:t>
      </w:r>
      <w:r>
        <w:rPr>
          <w:rFonts w:ascii="Trebuchet MS" w:eastAsia="Times New Roman" w:hAnsi="Trebuchet MS"/>
          <w:bCs/>
          <w:kern w:val="0"/>
        </w:rPr>
        <w:t xml:space="preserve"> </w:t>
      </w:r>
      <w:r>
        <w:rPr>
          <w:rFonts w:ascii="Trebuchet MS" w:eastAsia="Times New Roman" w:hAnsi="Trebuchet MS" w:cs="Trebuchet MS"/>
          <w:bCs/>
          <w:kern w:val="0"/>
        </w:rPr>
        <w:t>са</w:t>
      </w:r>
      <w:r>
        <w:rPr>
          <w:rFonts w:ascii="Trebuchet MS" w:eastAsia="Times New Roman" w:hAnsi="Trebuchet MS"/>
          <w:bCs/>
          <w:kern w:val="0"/>
        </w:rPr>
        <w:t xml:space="preserve"> </w:t>
      </w:r>
      <w:r>
        <w:rPr>
          <w:rFonts w:ascii="Trebuchet MS" w:eastAsia="Times New Roman" w:hAnsi="Trebuchet MS" w:cs="Trebuchet MS"/>
          <w:bCs/>
          <w:kern w:val="0"/>
        </w:rPr>
        <w:t>„ДА“</w:t>
      </w:r>
      <w:r>
        <w:rPr>
          <w:rFonts w:ascii="Trebuchet MS" w:eastAsia="Times New Roman" w:hAnsi="Trebuchet MS"/>
          <w:bCs/>
          <w:kern w:val="0"/>
        </w:rPr>
        <w:t xml:space="preserve"> </w:t>
      </w:r>
      <w:r>
        <w:rPr>
          <w:rFonts w:ascii="Arial" w:eastAsia="Times New Roman" w:hAnsi="Arial" w:cs="Arial"/>
          <w:bCs/>
          <w:kern w:val="0"/>
        </w:rPr>
        <w:t>-</w:t>
      </w:r>
      <w:r>
        <w:rPr>
          <w:rFonts w:ascii="Trebuchet MS" w:eastAsia="Times New Roman" w:hAnsi="Trebuchet MS"/>
          <w:bCs/>
          <w:kern w:val="0"/>
        </w:rPr>
        <w:t xml:space="preserve"> </w:t>
      </w:r>
      <w:r>
        <w:rPr>
          <w:rFonts w:ascii="Trebuchet MS" w:eastAsia="Times New Roman" w:hAnsi="Trebuchet MS" w:cs="Trebuchet MS"/>
          <w:bCs/>
          <w:kern w:val="0"/>
        </w:rPr>
        <w:t>кандидатстваме</w:t>
      </w:r>
      <w:r>
        <w:rPr>
          <w:rFonts w:ascii="Trebuchet MS" w:eastAsia="Times New Roman" w:hAnsi="Trebuchet MS"/>
          <w:bCs/>
          <w:kern w:val="0"/>
        </w:rPr>
        <w:t xml:space="preserve">  </w:t>
      </w:r>
    </w:p>
    <w:p w14:paraId="140C681F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 w:cs="Trebuchet MS"/>
          <w:bCs/>
          <w:kern w:val="0"/>
        </w:rPr>
        <w:t>АКО</w:t>
      </w:r>
      <w:r>
        <w:rPr>
          <w:rFonts w:ascii="Trebuchet MS" w:eastAsia="Times New Roman" w:hAnsi="Trebuchet MS"/>
          <w:bCs/>
          <w:kern w:val="0"/>
        </w:rPr>
        <w:t xml:space="preserve"> </w:t>
      </w:r>
      <w:r>
        <w:rPr>
          <w:rFonts w:ascii="Trebuchet MS" w:eastAsia="Times New Roman" w:hAnsi="Trebuchet MS" w:cs="Trebuchet MS"/>
          <w:bCs/>
          <w:kern w:val="0"/>
        </w:rPr>
        <w:t>има</w:t>
      </w:r>
      <w:r>
        <w:rPr>
          <w:rFonts w:ascii="Trebuchet MS" w:eastAsia="Times New Roman" w:hAnsi="Trebuchet MS"/>
          <w:bCs/>
          <w:kern w:val="0"/>
        </w:rPr>
        <w:t xml:space="preserve"> </w:t>
      </w:r>
      <w:r>
        <w:rPr>
          <w:rFonts w:ascii="Trebuchet MS" w:eastAsia="Times New Roman" w:hAnsi="Trebuchet MS" w:cs="Trebuchet MS"/>
          <w:bCs/>
          <w:kern w:val="0"/>
        </w:rPr>
        <w:t>сериозни</w:t>
      </w:r>
      <w:r>
        <w:rPr>
          <w:rFonts w:ascii="Trebuchet MS" w:eastAsia="Times New Roman" w:hAnsi="Trebuchet MS"/>
          <w:bCs/>
          <w:kern w:val="0"/>
        </w:rPr>
        <w:t xml:space="preserve"> </w:t>
      </w:r>
      <w:r>
        <w:rPr>
          <w:rFonts w:ascii="Trebuchet MS" w:eastAsia="Times New Roman" w:hAnsi="Trebuchet MS" w:cs="Trebuchet MS"/>
          <w:bCs/>
          <w:kern w:val="0"/>
        </w:rPr>
        <w:t>„НЕ“</w:t>
      </w:r>
      <w:r>
        <w:rPr>
          <w:rFonts w:ascii="Trebuchet MS" w:eastAsia="Times New Roman" w:hAnsi="Trebuchet MS"/>
          <w:bCs/>
          <w:kern w:val="0"/>
        </w:rPr>
        <w:t xml:space="preserve"> </w:t>
      </w:r>
      <w:r>
        <w:rPr>
          <w:rFonts w:ascii="Arial" w:eastAsia="Times New Roman" w:hAnsi="Arial" w:cs="Arial"/>
          <w:bCs/>
          <w:kern w:val="0"/>
        </w:rPr>
        <w:t>-</w:t>
      </w:r>
      <w:r>
        <w:rPr>
          <w:rFonts w:ascii="Trebuchet MS" w:eastAsia="Times New Roman" w:hAnsi="Trebuchet MS"/>
          <w:bCs/>
          <w:kern w:val="0"/>
        </w:rPr>
        <w:t xml:space="preserve"> </w:t>
      </w:r>
      <w:r>
        <w:rPr>
          <w:rFonts w:ascii="Trebuchet MS" w:eastAsia="Times New Roman" w:hAnsi="Trebuchet MS" w:cs="Trebuchet MS"/>
          <w:bCs/>
          <w:kern w:val="0"/>
        </w:rPr>
        <w:t>НЕ</w:t>
      </w:r>
      <w:r>
        <w:rPr>
          <w:rFonts w:ascii="Trebuchet MS" w:eastAsia="Times New Roman" w:hAnsi="Trebuchet MS"/>
          <w:bCs/>
          <w:kern w:val="0"/>
        </w:rPr>
        <w:t xml:space="preserve"> </w:t>
      </w:r>
      <w:r>
        <w:rPr>
          <w:rFonts w:ascii="Trebuchet MS" w:eastAsia="Times New Roman" w:hAnsi="Trebuchet MS" w:cs="Trebuchet MS"/>
          <w:bCs/>
          <w:kern w:val="0"/>
        </w:rPr>
        <w:t>кандидатствам</w:t>
      </w:r>
      <w:r>
        <w:rPr>
          <w:rFonts w:ascii="Trebuchet MS" w:eastAsia="Times New Roman" w:hAnsi="Trebuchet MS"/>
          <w:bCs/>
          <w:kern w:val="0"/>
        </w:rPr>
        <w:t>е</w:t>
      </w:r>
    </w:p>
    <w:p w14:paraId="3B033809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</w:p>
    <w:p w14:paraId="058982A0" w14:textId="77777777" w:rsidR="007469AF" w:rsidRDefault="007469AF" w:rsidP="007469AF">
      <w:pPr>
        <w:widowControl w:val="0"/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pacing w:before="20" w:after="0" w:line="240" w:lineRule="auto"/>
        <w:ind w:right="3" w:hanging="1014"/>
        <w:jc w:val="both"/>
        <w:rPr>
          <w:rFonts w:ascii="Trebuchet MS" w:eastAsia="Times New Roman" w:hAnsi="Trebuchet MS"/>
          <w:b/>
          <w:color w:val="00286C"/>
          <w:kern w:val="0"/>
        </w:rPr>
      </w:pPr>
      <w:r>
        <w:rPr>
          <w:rFonts w:ascii="Trebuchet MS" w:eastAsia="Times New Roman" w:hAnsi="Trebuchet MS"/>
          <w:b/>
          <w:color w:val="00286C"/>
          <w:kern w:val="0"/>
        </w:rPr>
        <w:t>ЗАКЛЮЧЕНИЕ</w:t>
      </w:r>
    </w:p>
    <w:p w14:paraId="0764F983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lastRenderedPageBreak/>
        <w:t>Вземането на решение за кандидатстване е ключов етап в процеса на достъп до финансиране от Европейския съюз. То изисква съчетание от аналитично мислене, познаване на изискванията и реалистична оценка на възможностите на организацията.</w:t>
      </w:r>
    </w:p>
    <w:p w14:paraId="47C4D1B5" w14:textId="77777777" w:rsidR="007469AF" w:rsidRDefault="007469AF" w:rsidP="007469AF">
      <w:pPr>
        <w:widowControl w:val="0"/>
        <w:kinsoku w:val="0"/>
        <w:overflowPunct w:val="0"/>
        <w:autoSpaceDE w:val="0"/>
        <w:autoSpaceDN w:val="0"/>
        <w:adjustRightInd w:val="0"/>
        <w:spacing w:before="20" w:after="0" w:line="240" w:lineRule="auto"/>
        <w:ind w:left="360" w:right="3"/>
        <w:jc w:val="both"/>
        <w:rPr>
          <w:rFonts w:ascii="Trebuchet MS" w:eastAsia="Times New Roman" w:hAnsi="Trebuchet MS"/>
          <w:bCs/>
          <w:kern w:val="0"/>
        </w:rPr>
      </w:pPr>
      <w:r>
        <w:rPr>
          <w:rFonts w:ascii="Trebuchet MS" w:eastAsia="Times New Roman" w:hAnsi="Trebuchet MS"/>
          <w:bCs/>
          <w:kern w:val="0"/>
        </w:rPr>
        <w:t>Чрез систематичен подход и критично отношение към избора на покани, организациите могат да повишат ефективността на своето участие и да насочат усилията си към най-подходящите възможности за финансиране.</w:t>
      </w:r>
    </w:p>
    <w:p w14:paraId="6876C48F" w14:textId="77777777" w:rsidR="00ED61E3" w:rsidRDefault="00ED61E3"/>
    <w:sectPr w:rsidR="00ED6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20856"/>
    <w:multiLevelType w:val="multilevel"/>
    <w:tmpl w:val="39142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6D407B"/>
    <w:multiLevelType w:val="hybridMultilevel"/>
    <w:tmpl w:val="53EA8BA8"/>
    <w:lvl w:ilvl="0" w:tplc="81AC49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228694">
    <w:abstractNumId w:val="0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296910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07"/>
    <w:rsid w:val="000B0951"/>
    <w:rsid w:val="001C4002"/>
    <w:rsid w:val="001E4EC4"/>
    <w:rsid w:val="004102F7"/>
    <w:rsid w:val="005F7E07"/>
    <w:rsid w:val="007469AF"/>
    <w:rsid w:val="00B07EE1"/>
    <w:rsid w:val="00ED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D41C1-EA2B-482E-9AA6-58D87BDC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9AF"/>
    <w:pPr>
      <w:spacing w:line="276" w:lineRule="auto"/>
    </w:pPr>
    <w:rPr>
      <w:rFonts w:ascii="Calibri" w:eastAsia="Calibri" w:hAnsi="Calibri" w:cs="Times New Roman"/>
      <w:sz w:val="24"/>
      <w:szCs w:val="24"/>
      <w:lang w:eastAsia="bg-BG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7E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E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E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E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E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E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E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E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E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E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7E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E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E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E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E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E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E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E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7E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E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7E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7E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7E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7E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7E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E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E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7E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1510</Words>
  <Characters>8610</Characters>
  <Application>Microsoft Office Word</Application>
  <DocSecurity>0</DocSecurity>
  <Lines>71</Lines>
  <Paragraphs>20</Paragraphs>
  <ScaleCrop>false</ScaleCrop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Lazarinka Andreeva</dc:creator>
  <cp:keywords/>
  <dc:description/>
  <cp:lastModifiedBy>Lazarinka Andreeva</cp:lastModifiedBy>
  <cp:revision>3</cp:revision>
  <dcterms:created xsi:type="dcterms:W3CDTF">2026-08-20T06:38:00Z</dcterms:created>
  <dcterms:modified xsi:type="dcterms:W3CDTF">2026-08-20T18:01:00Z</dcterms:modified>
</cp:coreProperties>
</file>