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4E54" w14:textId="77777777" w:rsidR="00641905" w:rsidRDefault="00641905" w:rsidP="00641905">
      <w:pPr>
        <w:pStyle w:val="1"/>
        <w:jc w:val="center"/>
        <w:rPr>
          <w:rFonts w:ascii="Trebuchet MS" w:eastAsia="Calibri" w:hAnsi="Trebuchet MS"/>
          <w:b/>
          <w:bCs/>
          <w:color w:val="004F88"/>
          <w:sz w:val="28"/>
          <w:szCs w:val="28"/>
        </w:rPr>
      </w:pPr>
      <w:bookmarkStart w:id="0" w:name="_Toc227593269"/>
      <w:r>
        <w:rPr>
          <w:rStyle w:val="10"/>
          <w:rFonts w:ascii="Trebuchet MS" w:eastAsia="Calibri" w:hAnsi="Trebuchet MS" w:cs="Times New Roman"/>
          <w:b/>
          <w:bCs/>
          <w:sz w:val="28"/>
          <w:szCs w:val="28"/>
        </w:rPr>
        <w:t>УРОК 4: ОСНОВНИ ПРОГРАМИ</w:t>
      </w:r>
      <w:r>
        <w:rPr>
          <w:rStyle w:val="10"/>
          <w:rFonts w:ascii="Trebuchet MS" w:eastAsia="Calibri" w:hAnsi="Trebuchet MS" w:cs="Times New Roman"/>
          <w:b/>
          <w:bCs/>
          <w:sz w:val="28"/>
          <w:szCs w:val="28"/>
          <w:lang w:val="en-US"/>
        </w:rPr>
        <w:t xml:space="preserve"> </w:t>
      </w:r>
      <w:r>
        <w:rPr>
          <w:rStyle w:val="10"/>
          <w:rFonts w:ascii="Trebuchet MS" w:eastAsia="Calibri" w:hAnsi="Trebuchet MS" w:cs="Times New Roman"/>
          <w:b/>
          <w:bCs/>
          <w:sz w:val="28"/>
          <w:szCs w:val="28"/>
        </w:rPr>
        <w:t>ЗА ФИНАНСИРАНЕ В</w:t>
      </w:r>
      <w:r>
        <w:rPr>
          <w:rFonts w:ascii="Trebuchet MS" w:eastAsia="Calibri" w:hAnsi="Trebuchet MS"/>
          <w:b/>
          <w:bCs/>
          <w:color w:val="004F88"/>
          <w:sz w:val="28"/>
          <w:szCs w:val="28"/>
        </w:rPr>
        <w:t xml:space="preserve"> ЕС</w:t>
      </w:r>
      <w:bookmarkEnd w:id="0"/>
    </w:p>
    <w:p w14:paraId="7084F927" w14:textId="77777777" w:rsidR="00641905" w:rsidRDefault="00641905" w:rsidP="00641905">
      <w:pPr>
        <w:numPr>
          <w:ilvl w:val="0"/>
          <w:numId w:val="1"/>
        </w:numPr>
        <w:spacing w:before="100" w:beforeAutospacing="1" w:after="100" w:afterAutospacing="1" w:line="240" w:lineRule="auto"/>
        <w:ind w:left="720"/>
        <w:jc w:val="both"/>
        <w:rPr>
          <w:rFonts w:ascii="Trebuchet MS" w:hAnsi="Trebuchet MS"/>
          <w:b/>
          <w:bCs/>
          <w:color w:val="1B4D7F"/>
          <w:u w:val="single"/>
        </w:rPr>
      </w:pPr>
      <w:r>
        <w:rPr>
          <w:rFonts w:ascii="Trebuchet MS" w:hAnsi="Trebuchet MS"/>
          <w:b/>
          <w:bCs/>
          <w:color w:val="1B4D7F"/>
          <w:u w:val="single"/>
        </w:rPr>
        <w:t>ОСНОВНИ ПРОГРАМИ ЗА ФИНАНСИРАНЕ</w:t>
      </w:r>
    </w:p>
    <w:p w14:paraId="38574B20" w14:textId="77777777" w:rsidR="00641905" w:rsidRDefault="00641905" w:rsidP="00641905">
      <w:pPr>
        <w:numPr>
          <w:ilvl w:val="1"/>
          <w:numId w:val="1"/>
        </w:numPr>
        <w:spacing w:before="100" w:beforeAutospacing="1" w:after="100" w:afterAutospacing="1" w:line="240" w:lineRule="auto"/>
        <w:ind w:left="1440"/>
        <w:jc w:val="both"/>
        <w:rPr>
          <w:rFonts w:ascii="Trebuchet MS" w:hAnsi="Trebuchet MS"/>
          <w:b/>
          <w:bCs/>
          <w:color w:val="1B4D7F"/>
          <w:u w:val="single"/>
        </w:rPr>
      </w:pPr>
      <w:r>
        <w:rPr>
          <w:rFonts w:ascii="Trebuchet MS" w:hAnsi="Trebuchet MS"/>
          <w:b/>
          <w:bCs/>
          <w:color w:val="1B4D7F"/>
          <w:u w:val="single"/>
        </w:rPr>
        <w:t>ПРОГРАМА Еразъм + (ERASMUS+)</w:t>
      </w:r>
    </w:p>
    <w:p w14:paraId="07E9CB24"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Програмата Еразъм + представлява основният инструмент на Европейския съюз в областта на образованието, обучението и младежките политики за периода 2021–2027. България и Румъния са пълноправни програмни държави и могат да участват във всички основни действия. Програмата има общ индикативен бюджет над 26 млрд. евро за периода 2021–2027, като официалната страница посочва приблизително 26.2 млрд. евро от бюджета на ЕС.</w:t>
      </w:r>
    </w:p>
    <w:p w14:paraId="2F22E69E"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Програмата има особено значение за неправителствени, религиозни и социални организации, които реализират дейности в областта на младежката работа и неформалното образование. Програмата не е насочена към финансиране на социални проблеми или инфраструктурни дейности, а към подкрепа на учене, мобилност, обмен и сътрудничество. За религиозни и граждански организации това често е най-добрият вход към европейско финансиране, защото поддържа по-леки формати като младежки обмен, обучения за младежки работници и малки партньорства.</w:t>
      </w:r>
    </w:p>
    <w:p w14:paraId="68F5FA43"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Програмата е приложима за неправителствени и религиозни организации, като включва различни действия в областта на младежта. Сред тях се открояват младежки обмени (KA1 </w:t>
      </w:r>
      <w:proofErr w:type="spellStart"/>
      <w:r>
        <w:rPr>
          <w:rFonts w:ascii="Trebuchet MS" w:eastAsia="Times New Roman" w:hAnsi="Trebuchet MS"/>
          <w:bCs/>
          <w:iCs/>
          <w:spacing w:val="-2"/>
          <w:kern w:val="0"/>
          <w:shd w:val="clear" w:color="auto" w:fill="FFFFFF"/>
        </w:rPr>
        <w:t>Youth</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Exchanges</w:t>
      </w:r>
      <w:proofErr w:type="spellEnd"/>
      <w:r>
        <w:rPr>
          <w:rFonts w:ascii="Trebuchet MS" w:eastAsia="Times New Roman" w:hAnsi="Trebuchet MS"/>
          <w:bCs/>
          <w:iCs/>
          <w:spacing w:val="-2"/>
          <w:kern w:val="0"/>
          <w:shd w:val="clear" w:color="auto" w:fill="FFFFFF"/>
        </w:rPr>
        <w:t xml:space="preserve">), обучения и мобилности за младежки работници (KA1 </w:t>
      </w:r>
      <w:proofErr w:type="spellStart"/>
      <w:r>
        <w:rPr>
          <w:rFonts w:ascii="Trebuchet MS" w:eastAsia="Times New Roman" w:hAnsi="Trebuchet MS"/>
          <w:bCs/>
          <w:iCs/>
          <w:spacing w:val="-2"/>
          <w:kern w:val="0"/>
          <w:shd w:val="clear" w:color="auto" w:fill="FFFFFF"/>
        </w:rPr>
        <w:t>Mobility</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projects</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for</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youth</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workers</w:t>
      </w:r>
      <w:proofErr w:type="spellEnd"/>
      <w:r>
        <w:rPr>
          <w:rFonts w:ascii="Trebuchet MS" w:eastAsia="Times New Roman" w:hAnsi="Trebuchet MS"/>
          <w:bCs/>
          <w:iCs/>
          <w:spacing w:val="-2"/>
          <w:kern w:val="0"/>
          <w:shd w:val="clear" w:color="auto" w:fill="FFFFFF"/>
        </w:rPr>
        <w:t xml:space="preserve">), дейности за участие на млади хора (KA154 </w:t>
      </w:r>
      <w:proofErr w:type="spellStart"/>
      <w:r>
        <w:rPr>
          <w:rFonts w:ascii="Trebuchet MS" w:eastAsia="Times New Roman" w:hAnsi="Trebuchet MS"/>
          <w:bCs/>
          <w:iCs/>
          <w:spacing w:val="-2"/>
          <w:kern w:val="0"/>
          <w:shd w:val="clear" w:color="auto" w:fill="FFFFFF"/>
        </w:rPr>
        <w:t>Youth</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participation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activities</w:t>
      </w:r>
      <w:proofErr w:type="spellEnd"/>
      <w:r>
        <w:rPr>
          <w:rFonts w:ascii="Trebuchet MS" w:eastAsia="Times New Roman" w:hAnsi="Trebuchet MS"/>
          <w:bCs/>
          <w:iCs/>
          <w:spacing w:val="-2"/>
          <w:kern w:val="0"/>
          <w:shd w:val="clear" w:color="auto" w:fill="FFFFFF"/>
        </w:rPr>
        <w:t xml:space="preserve">), малки партньорства (KA210 </w:t>
      </w:r>
      <w:proofErr w:type="spellStart"/>
      <w:r>
        <w:rPr>
          <w:rFonts w:ascii="Trebuchet MS" w:eastAsia="Times New Roman" w:hAnsi="Trebuchet MS"/>
          <w:bCs/>
          <w:iCs/>
          <w:spacing w:val="-2"/>
          <w:kern w:val="0"/>
          <w:shd w:val="clear" w:color="auto" w:fill="FFFFFF"/>
        </w:rPr>
        <w:t>Small-scale</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Partnerships</w:t>
      </w:r>
      <w:proofErr w:type="spellEnd"/>
      <w:r>
        <w:rPr>
          <w:rFonts w:ascii="Trebuchet MS" w:eastAsia="Times New Roman" w:hAnsi="Trebuchet MS"/>
          <w:bCs/>
          <w:iCs/>
          <w:spacing w:val="-2"/>
          <w:kern w:val="0"/>
          <w:shd w:val="clear" w:color="auto" w:fill="FFFFFF"/>
        </w:rPr>
        <w:t xml:space="preserve">), както и по-мащабни партньорства за сътрудничество (KA220 </w:t>
      </w:r>
      <w:proofErr w:type="spellStart"/>
      <w:r>
        <w:rPr>
          <w:rFonts w:ascii="Trebuchet MS" w:eastAsia="Times New Roman" w:hAnsi="Trebuchet MS"/>
          <w:bCs/>
          <w:iCs/>
          <w:spacing w:val="-2"/>
          <w:kern w:val="0"/>
          <w:shd w:val="clear" w:color="auto" w:fill="FFFFFF"/>
        </w:rPr>
        <w:t>Cooperation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Partnerships</w:t>
      </w:r>
      <w:proofErr w:type="spellEnd"/>
      <w:r>
        <w:rPr>
          <w:rFonts w:ascii="Trebuchet MS" w:eastAsia="Times New Roman" w:hAnsi="Trebuchet MS"/>
          <w:bCs/>
          <w:iCs/>
          <w:spacing w:val="-2"/>
          <w:kern w:val="0"/>
          <w:shd w:val="clear" w:color="auto" w:fill="FFFFFF"/>
        </w:rPr>
        <w:t>).</w:t>
      </w:r>
    </w:p>
    <w:p w14:paraId="3F8EC564"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По линия на младежките дейности </w:t>
      </w:r>
      <w:proofErr w:type="spellStart"/>
      <w:r>
        <w:rPr>
          <w:rFonts w:ascii="Trebuchet MS" w:eastAsia="Times New Roman" w:hAnsi="Trebuchet MS"/>
          <w:bCs/>
          <w:iCs/>
          <w:spacing w:val="-2"/>
          <w:kern w:val="0"/>
          <w:shd w:val="clear" w:color="auto" w:fill="FFFFFF"/>
        </w:rPr>
        <w:t>Erasmus</w:t>
      </w:r>
      <w:proofErr w:type="spellEnd"/>
      <w:r>
        <w:rPr>
          <w:rFonts w:ascii="Trebuchet MS" w:eastAsia="Times New Roman" w:hAnsi="Trebuchet MS"/>
          <w:bCs/>
          <w:iCs/>
          <w:spacing w:val="-2"/>
          <w:kern w:val="0"/>
          <w:shd w:val="clear" w:color="auto" w:fill="FFFFFF"/>
        </w:rPr>
        <w:t>+ финансира обмен на млади хора, обучения за младежки работници, събития за младежко участие, партньорства за разработване на методики, образователни продукти, обучения, кампании, пилотни дейности и международен обмен на опит. В този контекст организациите могат да кандидатстват за дейности като младежки лагер с образователен елемент, транснационално обучение за доброволци, обмен на добри практики по работа с младежи в риск или съвместно разработване на обучителни материали с партньори от друга държава.</w:t>
      </w:r>
    </w:p>
    <w:p w14:paraId="63375A21"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Програма Еразъм + допуска участие на публични и частни организации, активни в младежкия, образователния, социалния и спортния сектор. На практика това включва НПО, фондации, сдружения, читалища, образователни центрове, местни власти и други юридически лица. Религиозна организация може да бъде допустима, ако има юридическа регистрация и проектът ѝ попада в целите на съответното действие, например младежки дейности, неформално образование или участие на общността.</w:t>
      </w:r>
    </w:p>
    <w:p w14:paraId="5D8984CB"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При Младежки обмен и Мобилност за младежки работници са нужни минимум две организации от различни държави, като следва поне една да е изпращаща и една приемаща. При Малки партньорски проекти обичайно са нужни минимум две организации от две програмни държави, а при по-мащабни партньорства за сътрудничество, минимум три организации от три програмни държави. Това е особено релевантно в контекста на български и румънски организации, защото </w:t>
      </w:r>
      <w:r>
        <w:rPr>
          <w:rFonts w:ascii="Trebuchet MS" w:eastAsia="Times New Roman" w:hAnsi="Trebuchet MS"/>
          <w:bCs/>
          <w:iCs/>
          <w:spacing w:val="-2"/>
          <w:kern w:val="0"/>
          <w:shd w:val="clear" w:color="auto" w:fill="FFFFFF"/>
        </w:rPr>
        <w:lastRenderedPageBreak/>
        <w:t>могат да правят двустранни или многостранни партньорства според вида действие.</w:t>
      </w:r>
    </w:p>
    <w:p w14:paraId="7FB853A8"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Следва да се прави разграничение между бюджета на програмата и бюджета на проекта.</w:t>
      </w:r>
    </w:p>
    <w:p w14:paraId="5D6E5428"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Общият бюджет на програма </w:t>
      </w:r>
      <w:proofErr w:type="spellStart"/>
      <w:r>
        <w:rPr>
          <w:rFonts w:ascii="Trebuchet MS" w:eastAsia="Times New Roman" w:hAnsi="Trebuchet MS"/>
          <w:bCs/>
          <w:iCs/>
          <w:spacing w:val="-2"/>
          <w:kern w:val="0"/>
          <w:shd w:val="clear" w:color="auto" w:fill="FFFFFF"/>
        </w:rPr>
        <w:t>Erasmus</w:t>
      </w:r>
      <w:proofErr w:type="spellEnd"/>
      <w:r>
        <w:rPr>
          <w:rFonts w:ascii="Trebuchet MS" w:eastAsia="Times New Roman" w:hAnsi="Trebuchet MS"/>
          <w:bCs/>
          <w:iCs/>
          <w:spacing w:val="-2"/>
          <w:kern w:val="0"/>
          <w:shd w:val="clear" w:color="auto" w:fill="FFFFFF"/>
        </w:rPr>
        <w:t>+ за 2021–2027 е над 26 млрд. евро.</w:t>
      </w:r>
    </w:p>
    <w:p w14:paraId="6C9F73BF"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При малките партньорства, грантовете са фиксирани суми от 30 000 евро или 60 000 евро.</w:t>
      </w:r>
    </w:p>
    <w:p w14:paraId="3C2851D6"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При по-мащабни партньорства за сътрудничество, грантовете са фиксирани суми от 120 000 евро, 250 000 евро или 400 000 евро.</w:t>
      </w:r>
    </w:p>
    <w:p w14:paraId="71D8447F"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При младежките мобилности и младежките обмени бюджетите обикновено се изчисляват по категории разходи като пътни разходи, индивидуална и организационна подкрепа, езикова подкрепа или подготвителни дейности, а не като една твърда сума за всички проекти.</w:t>
      </w:r>
    </w:p>
    <w:p w14:paraId="10C8C077"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Пример за подходящ проект за неправителствена, църковна, социална или друг вид организация е младежки обмен между организации от България и Румъния на тема доброволчество и социално включване, обучения за младежки работници по теми като работа с уязвими групи и междукултурен диалог, разработване на обучителни материали за доброволци, както и инициативи за участие на млади хора в местната общност.</w:t>
      </w:r>
    </w:p>
    <w:p w14:paraId="008C4052"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Програмата е подходяща в случаи, когато основният фокус е върху учене, мобилност, обмен, младежко участие и изграждане на капацитет. Не е най-подходяща програма, ако основната ви цел е предоставяне на дългосрочна социална услуга, строителство, оборудване или изграждане на голяма местна инфраструктура.</w:t>
      </w:r>
    </w:p>
    <w:p w14:paraId="1F8C27EA"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За достъп до формулярите за кандидатстване, регистрация на организации (OID) и подаване на проектни предложения, се използва системата на Европейската комисия EU </w:t>
      </w:r>
      <w:proofErr w:type="spellStart"/>
      <w:r>
        <w:rPr>
          <w:rFonts w:ascii="Trebuchet MS" w:eastAsia="Times New Roman" w:hAnsi="Trebuchet MS"/>
          <w:bCs/>
          <w:iCs/>
          <w:spacing w:val="-2"/>
          <w:kern w:val="0"/>
          <w:shd w:val="clear" w:color="auto" w:fill="FFFFFF"/>
        </w:rPr>
        <w:t>Login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Webgate</w:t>
      </w:r>
      <w:proofErr w:type="spellEnd"/>
      <w:r>
        <w:rPr>
          <w:rFonts w:ascii="Trebuchet MS" w:eastAsia="Times New Roman" w:hAnsi="Trebuchet MS"/>
          <w:bCs/>
          <w:iCs/>
          <w:spacing w:val="-2"/>
          <w:kern w:val="0"/>
          <w:shd w:val="clear" w:color="auto" w:fill="FFFFFF"/>
        </w:rPr>
        <w:t xml:space="preserve">). Чрез нея организациите създават профил, регистрират се в системата и получават идентификационен номер, необходим за участие в програмите </w:t>
      </w:r>
      <w:proofErr w:type="spellStart"/>
      <w:r>
        <w:rPr>
          <w:rFonts w:ascii="Trebuchet MS" w:eastAsia="Times New Roman" w:hAnsi="Trebuchet MS"/>
          <w:bCs/>
          <w:iCs/>
          <w:spacing w:val="-2"/>
          <w:kern w:val="0"/>
          <w:shd w:val="clear" w:color="auto" w:fill="FFFFFF"/>
        </w:rPr>
        <w:t>Erasmus</w:t>
      </w:r>
      <w:proofErr w:type="spellEnd"/>
      <w:r>
        <w:rPr>
          <w:rFonts w:ascii="Trebuchet MS" w:eastAsia="Times New Roman" w:hAnsi="Trebuchet MS"/>
          <w:bCs/>
          <w:iCs/>
          <w:spacing w:val="-2"/>
          <w:kern w:val="0"/>
          <w:shd w:val="clear" w:color="auto" w:fill="FFFFFF"/>
        </w:rPr>
        <w:t>+ и Европейския корпус за солидарност.</w:t>
      </w:r>
    </w:p>
    <w:p w14:paraId="5EE3F03C"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По повечето централизирани или национално управлявани действия се кандидатства според правилата в Ръководството на програма Еразъм +, а основно кандидатстването с извършва към националната агенция на държавата на кандидата.</w:t>
      </w:r>
    </w:p>
    <w:p w14:paraId="698403ED"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Ръководство на Програма Еразъм +</w:t>
      </w:r>
    </w:p>
    <w:p w14:paraId="08978041"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hyperlink r:id="rId5" w:history="1">
        <w:r>
          <w:rPr>
            <w:rStyle w:val="ae"/>
            <w:rFonts w:ascii="Trebuchet MS" w:eastAsia="Times New Roman" w:hAnsi="Trebuchet MS"/>
            <w:bCs/>
            <w:iCs/>
            <w:spacing w:val="-2"/>
            <w:kern w:val="0"/>
            <w:shd w:val="clear" w:color="auto" w:fill="FFFFFF"/>
          </w:rPr>
          <w:t>https://erasmus-plus.ec.europa.eu/erasmus-programme-guide?utm_source</w:t>
        </w:r>
      </w:hyperlink>
      <w:r>
        <w:rPr>
          <w:rFonts w:ascii="Trebuchet MS" w:eastAsia="Times New Roman" w:hAnsi="Trebuchet MS"/>
          <w:bCs/>
          <w:iCs/>
          <w:spacing w:val="-2"/>
          <w:kern w:val="0"/>
          <w:shd w:val="clear" w:color="auto" w:fill="FFFFFF"/>
        </w:rPr>
        <w:t xml:space="preserve"> </w:t>
      </w:r>
    </w:p>
    <w:p w14:paraId="371FF955"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60AD02CD"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Контакти на националните агенции в различните държани:</w:t>
      </w:r>
    </w:p>
    <w:p w14:paraId="685152E7"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hyperlink r:id="rId6" w:history="1">
        <w:r>
          <w:rPr>
            <w:rStyle w:val="ae"/>
            <w:rFonts w:ascii="Trebuchet MS" w:eastAsia="Times New Roman" w:hAnsi="Trebuchet MS"/>
            <w:bCs/>
            <w:iCs/>
            <w:spacing w:val="-2"/>
            <w:kern w:val="0"/>
            <w:shd w:val="clear" w:color="auto" w:fill="FFFFFF"/>
          </w:rPr>
          <w:t>https://erasmus-plus.ec.europa.eu/about-erasmus/contacts/national-agencies</w:t>
        </w:r>
      </w:hyperlink>
      <w:r>
        <w:rPr>
          <w:rFonts w:ascii="Trebuchet MS" w:eastAsia="Times New Roman" w:hAnsi="Trebuchet MS"/>
          <w:bCs/>
          <w:iCs/>
          <w:spacing w:val="-2"/>
          <w:kern w:val="0"/>
          <w:shd w:val="clear" w:color="auto" w:fill="FFFFFF"/>
        </w:rPr>
        <w:t xml:space="preserve"> </w:t>
      </w:r>
    </w:p>
    <w:p w14:paraId="12E65F5B"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2AE4EE11"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2B8DCB02" w14:textId="77777777" w:rsidR="00641905" w:rsidRDefault="00641905" w:rsidP="00641905">
      <w:pPr>
        <w:numPr>
          <w:ilvl w:val="1"/>
          <w:numId w:val="1"/>
        </w:numPr>
        <w:shd w:val="clear" w:color="auto" w:fill="FFFFFF"/>
        <w:spacing w:after="0" w:line="240" w:lineRule="auto"/>
        <w:ind w:left="1440"/>
        <w:jc w:val="both"/>
        <w:rPr>
          <w:rFonts w:ascii="Trebuchet MS" w:eastAsia="Times New Roman" w:hAnsi="Trebuchet MS"/>
          <w:b/>
          <w:iCs/>
          <w:color w:val="1B4D7F"/>
          <w:spacing w:val="-2"/>
          <w:kern w:val="0"/>
          <w:u w:val="single"/>
          <w:shd w:val="clear" w:color="auto" w:fill="FFFFFF"/>
        </w:rPr>
      </w:pPr>
      <w:r>
        <w:rPr>
          <w:rFonts w:ascii="Trebuchet MS" w:eastAsia="Times New Roman" w:hAnsi="Trebuchet MS"/>
          <w:b/>
          <w:iCs/>
          <w:color w:val="1B4D7F"/>
          <w:spacing w:val="-2"/>
          <w:kern w:val="0"/>
          <w:u w:val="single"/>
          <w:shd w:val="clear" w:color="auto" w:fill="FFFFFF"/>
        </w:rPr>
        <w:t>ЕВРОПЕЙСКИ КОРПУС ЗА СОЛИДАРНОСТ (EUROPEAN SOLIDARITY CORPS, ESC)</w:t>
      </w:r>
    </w:p>
    <w:p w14:paraId="79B1D47B"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roofErr w:type="spellStart"/>
      <w:r>
        <w:rPr>
          <w:rFonts w:ascii="Trebuchet MS" w:eastAsia="Times New Roman" w:hAnsi="Trebuchet MS"/>
          <w:bCs/>
          <w:iCs/>
          <w:spacing w:val="-2"/>
          <w:kern w:val="0"/>
          <w:shd w:val="clear" w:color="auto" w:fill="FFFFFF"/>
        </w:rPr>
        <w:t>European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Solidarity</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Corps</w:t>
      </w:r>
      <w:proofErr w:type="spellEnd"/>
      <w:r>
        <w:rPr>
          <w:rFonts w:ascii="Trebuchet MS" w:eastAsia="Times New Roman" w:hAnsi="Trebuchet MS"/>
          <w:bCs/>
          <w:iCs/>
          <w:spacing w:val="-2"/>
          <w:kern w:val="0"/>
          <w:shd w:val="clear" w:color="auto" w:fill="FFFFFF"/>
        </w:rPr>
        <w:t xml:space="preserve"> (ESC) представлява програма на Европейския съюз, насочена към подкрепа на доброволчеството и солидарните инициативи на млади хора. За периода 2021–2027, програмата разполага с бюджет от над 1 млрд. евро и има съществено значение за организации, които работят на местно ниво, с доброволци и с уязвими групи.</w:t>
      </w:r>
    </w:p>
    <w:p w14:paraId="36315AD6"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Програмата е особено приложима за неправителствени, религиозни и социални организации, тъй като е фокусирана върху солидарността, доброволчеството и отговора на реални обществени нужди. В този контекст тя предоставя </w:t>
      </w:r>
      <w:r>
        <w:rPr>
          <w:rFonts w:ascii="Trebuchet MS" w:eastAsia="Times New Roman" w:hAnsi="Trebuchet MS"/>
          <w:bCs/>
          <w:iCs/>
          <w:spacing w:val="-2"/>
          <w:kern w:val="0"/>
          <w:shd w:val="clear" w:color="auto" w:fill="FFFFFF"/>
        </w:rPr>
        <w:lastRenderedPageBreak/>
        <w:t>възможности за включване на млади доброволци в дейности, насочени към подкрепа на възрастни хора, деца, лица в риск и други уязвими групи, както и за реализиране на инициативи в местната общност.</w:t>
      </w:r>
    </w:p>
    <w:p w14:paraId="1E7689CD"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В рамките на програмата се финансират основно доброволчески проекти (</w:t>
      </w:r>
      <w:proofErr w:type="spellStart"/>
      <w:r>
        <w:rPr>
          <w:rFonts w:ascii="Trebuchet MS" w:eastAsia="Times New Roman" w:hAnsi="Trebuchet MS"/>
          <w:bCs/>
          <w:iCs/>
          <w:spacing w:val="-2"/>
          <w:kern w:val="0"/>
          <w:shd w:val="clear" w:color="auto" w:fill="FFFFFF"/>
        </w:rPr>
        <w:t>Volunteering</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Projects</w:t>
      </w:r>
      <w:proofErr w:type="spellEnd"/>
      <w:r>
        <w:rPr>
          <w:rFonts w:ascii="Trebuchet MS" w:eastAsia="Times New Roman" w:hAnsi="Trebuchet MS"/>
          <w:bCs/>
          <w:iCs/>
          <w:spacing w:val="-2"/>
          <w:kern w:val="0"/>
          <w:shd w:val="clear" w:color="auto" w:fill="FFFFFF"/>
        </w:rPr>
        <w:t>), при които организациите могат да приемат или изпращат доброволци, както и солидарни проекти (</w:t>
      </w:r>
      <w:proofErr w:type="spellStart"/>
      <w:r>
        <w:rPr>
          <w:rFonts w:ascii="Trebuchet MS" w:eastAsia="Times New Roman" w:hAnsi="Trebuchet MS"/>
          <w:bCs/>
          <w:iCs/>
          <w:spacing w:val="-2"/>
          <w:kern w:val="0"/>
          <w:shd w:val="clear" w:color="auto" w:fill="FFFFFF"/>
        </w:rPr>
        <w:t>Solidarity</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Projects</w:t>
      </w:r>
      <w:proofErr w:type="spellEnd"/>
      <w:r>
        <w:rPr>
          <w:rFonts w:ascii="Trebuchet MS" w:eastAsia="Times New Roman" w:hAnsi="Trebuchet MS"/>
          <w:bCs/>
          <w:iCs/>
          <w:spacing w:val="-2"/>
          <w:kern w:val="0"/>
          <w:shd w:val="clear" w:color="auto" w:fill="FFFFFF"/>
        </w:rPr>
        <w:t>), които представляват местни инициативи, реализирани от млади хора в тяхната общност. Тези два формата са най-релевантни за организации, които работят на местно ниво и търсят по-достъпни форми на участие в европейски програми.</w:t>
      </w:r>
    </w:p>
    <w:p w14:paraId="449150F1"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За участие в доброволчески проекти, организациите следва да притежават Етикет за качество (Quality </w:t>
      </w:r>
      <w:proofErr w:type="spellStart"/>
      <w:r>
        <w:rPr>
          <w:rFonts w:ascii="Trebuchet MS" w:eastAsia="Times New Roman" w:hAnsi="Trebuchet MS"/>
          <w:bCs/>
          <w:iCs/>
          <w:spacing w:val="-2"/>
          <w:kern w:val="0"/>
          <w:shd w:val="clear" w:color="auto" w:fill="FFFFFF"/>
        </w:rPr>
        <w:t>Label</w:t>
      </w:r>
      <w:proofErr w:type="spellEnd"/>
      <w:r>
        <w:rPr>
          <w:rFonts w:ascii="Trebuchet MS" w:eastAsia="Times New Roman" w:hAnsi="Trebuchet MS"/>
          <w:bCs/>
          <w:iCs/>
          <w:spacing w:val="-2"/>
          <w:kern w:val="0"/>
          <w:shd w:val="clear" w:color="auto" w:fill="FFFFFF"/>
        </w:rPr>
        <w:t xml:space="preserve">), който удостоверява тяхната готовност да работят с доброволци. В зависимост от ролята си те могат да бъдат приемащи, изпращащи или водещи организации. При солидарните проекти не се изисква Quality </w:t>
      </w:r>
      <w:proofErr w:type="spellStart"/>
      <w:r>
        <w:rPr>
          <w:rFonts w:ascii="Trebuchet MS" w:eastAsia="Times New Roman" w:hAnsi="Trebuchet MS"/>
          <w:bCs/>
          <w:iCs/>
          <w:spacing w:val="-2"/>
          <w:kern w:val="0"/>
          <w:shd w:val="clear" w:color="auto" w:fill="FFFFFF"/>
        </w:rPr>
        <w:t>Label</w:t>
      </w:r>
      <w:proofErr w:type="spellEnd"/>
      <w:r>
        <w:rPr>
          <w:rFonts w:ascii="Trebuchet MS" w:eastAsia="Times New Roman" w:hAnsi="Trebuchet MS"/>
          <w:bCs/>
          <w:iCs/>
          <w:spacing w:val="-2"/>
          <w:kern w:val="0"/>
          <w:shd w:val="clear" w:color="auto" w:fill="FFFFFF"/>
        </w:rPr>
        <w:t>, като те се реализират от групи от млади хора с подкрепата на организация.</w:t>
      </w:r>
    </w:p>
    <w:p w14:paraId="15DB14BB"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Финансирането по програмата покрива различни категории разходи, включително пътни разходи, организационна подкрепа, разходи за дейности, езикова подкрепа и допълнителни разходи, свързани с участници с по-малко възможности. При солидарните проекти се предоставя фиксирана месечна подкрепа за управление и изпълнение на дейностите, което прави този формат особено подходящ за организации с ограничен административен капацитет.</w:t>
      </w:r>
    </w:p>
    <w:p w14:paraId="10B701FC"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Типични дейности, които могат да бъдат реализирани в рамките на програмата, включват доброволчески инициативи за подкрепа на възрастни хора, работа с деца и младежи, социални кампании, дейности за насърчаване на солидарността и включване на млади хора в обществения живот. Тези дейности са особено релевантни за организации, които развиват работа на местно ниво и имат пряк контакт с общността.</w:t>
      </w:r>
    </w:p>
    <w:p w14:paraId="57D3CEED"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Програмата е подходящ избор в случаи, когато основният фокус е върху доброволчество, солидарност и местна обществена ангажираност. За разлика от други програми, тя не изисква сложни международни партньорства при всички формати и позволява реализиране на инициативи с по-ограничен обхват, което я прави подходяща за организации с по-малък опит.</w:t>
      </w:r>
    </w:p>
    <w:p w14:paraId="73B644A5"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Достъпът до програмата се осъществява чрез </w:t>
      </w:r>
      <w:proofErr w:type="spellStart"/>
      <w:r>
        <w:rPr>
          <w:rFonts w:ascii="Trebuchet MS" w:eastAsia="Times New Roman" w:hAnsi="Trebuchet MS"/>
          <w:bCs/>
          <w:iCs/>
          <w:spacing w:val="-2"/>
          <w:kern w:val="0"/>
          <w:shd w:val="clear" w:color="auto" w:fill="FFFFFF"/>
        </w:rPr>
        <w:t>European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Youth</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Portal</w:t>
      </w:r>
      <w:proofErr w:type="spellEnd"/>
      <w:r>
        <w:rPr>
          <w:rFonts w:ascii="Trebuchet MS" w:eastAsia="Times New Roman" w:hAnsi="Trebuchet MS"/>
          <w:bCs/>
          <w:iCs/>
          <w:spacing w:val="-2"/>
          <w:kern w:val="0"/>
          <w:shd w:val="clear" w:color="auto" w:fill="FFFFFF"/>
        </w:rPr>
        <w:t xml:space="preserve">, където са публикувани условията за участие, формите за кандидатстване и референтните документи. Основният документ, който следва да се използва при подготовка за кандидатстване, е </w:t>
      </w:r>
      <w:proofErr w:type="spellStart"/>
      <w:r>
        <w:rPr>
          <w:rFonts w:ascii="Trebuchet MS" w:eastAsia="Times New Roman" w:hAnsi="Trebuchet MS"/>
          <w:bCs/>
          <w:iCs/>
          <w:spacing w:val="-2"/>
          <w:kern w:val="0"/>
          <w:shd w:val="clear" w:color="auto" w:fill="FFFFFF"/>
        </w:rPr>
        <w:t>European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Solidarity</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Corps</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Guide</w:t>
      </w:r>
      <w:proofErr w:type="spellEnd"/>
      <w:r>
        <w:rPr>
          <w:rFonts w:ascii="Trebuchet MS" w:eastAsia="Times New Roman" w:hAnsi="Trebuchet MS"/>
          <w:bCs/>
          <w:iCs/>
          <w:spacing w:val="-2"/>
          <w:kern w:val="0"/>
          <w:shd w:val="clear" w:color="auto" w:fill="FFFFFF"/>
        </w:rPr>
        <w:t>.</w:t>
      </w:r>
    </w:p>
    <w:p w14:paraId="32745305"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33A1C201"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roofErr w:type="spellStart"/>
      <w:r>
        <w:rPr>
          <w:rFonts w:ascii="Trebuchet MS" w:eastAsia="Times New Roman" w:hAnsi="Trebuchet MS"/>
          <w:bCs/>
          <w:iCs/>
          <w:spacing w:val="-2"/>
          <w:kern w:val="0"/>
          <w:shd w:val="clear" w:color="auto" w:fill="FFFFFF"/>
        </w:rPr>
        <w:t>European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Youth</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Portal</w:t>
      </w:r>
      <w:proofErr w:type="spellEnd"/>
    </w:p>
    <w:p w14:paraId="5F9C7C60"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hyperlink r:id="rId7" w:history="1">
        <w:r>
          <w:rPr>
            <w:rStyle w:val="ae"/>
            <w:rFonts w:ascii="Trebuchet MS" w:eastAsia="Times New Roman" w:hAnsi="Trebuchet MS"/>
            <w:bCs/>
            <w:iCs/>
            <w:spacing w:val="-2"/>
            <w:kern w:val="0"/>
            <w:shd w:val="clear" w:color="auto" w:fill="FFFFFF"/>
          </w:rPr>
          <w:t>https://youth.europa.eu/_en</w:t>
        </w:r>
      </w:hyperlink>
      <w:r>
        <w:rPr>
          <w:rFonts w:ascii="Trebuchet MS" w:eastAsia="Times New Roman" w:hAnsi="Trebuchet MS"/>
          <w:bCs/>
          <w:iCs/>
          <w:spacing w:val="-2"/>
          <w:kern w:val="0"/>
          <w:shd w:val="clear" w:color="auto" w:fill="FFFFFF"/>
        </w:rPr>
        <w:t xml:space="preserve"> </w:t>
      </w:r>
    </w:p>
    <w:p w14:paraId="115C4AD1"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1CAEE289"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roofErr w:type="spellStart"/>
      <w:r>
        <w:rPr>
          <w:rFonts w:ascii="Trebuchet MS" w:eastAsia="Times New Roman" w:hAnsi="Trebuchet MS"/>
          <w:bCs/>
          <w:iCs/>
          <w:spacing w:val="-2"/>
          <w:kern w:val="0"/>
          <w:shd w:val="clear" w:color="auto" w:fill="FFFFFF"/>
        </w:rPr>
        <w:t>European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Solidarity</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Corps</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Guide</w:t>
      </w:r>
      <w:proofErr w:type="spellEnd"/>
    </w:p>
    <w:p w14:paraId="7C35547E"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hyperlink r:id="rId8" w:history="1">
        <w:r>
          <w:rPr>
            <w:rStyle w:val="ae"/>
            <w:rFonts w:ascii="Trebuchet MS" w:eastAsia="Times New Roman" w:hAnsi="Trebuchet MS"/>
            <w:bCs/>
            <w:iCs/>
            <w:spacing w:val="-2"/>
            <w:kern w:val="0"/>
            <w:shd w:val="clear" w:color="auto" w:fill="FFFFFF"/>
          </w:rPr>
          <w:t xml:space="preserve">https://youth.europa.eu/sites/default/files/inline-files/european_solidarity_corps_guide_2026_EN. </w:t>
        </w:r>
      </w:hyperlink>
      <w:r>
        <w:rPr>
          <w:rFonts w:ascii="Trebuchet MS" w:eastAsia="Times New Roman" w:hAnsi="Trebuchet MS"/>
          <w:bCs/>
          <w:iCs/>
          <w:spacing w:val="-2"/>
          <w:kern w:val="0"/>
          <w:shd w:val="clear" w:color="auto" w:fill="FFFFFF"/>
        </w:rPr>
        <w:t xml:space="preserve">  </w:t>
      </w:r>
    </w:p>
    <w:p w14:paraId="24F764DB"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41E4DB6F"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03C2FBCF" w14:textId="77777777" w:rsidR="00641905" w:rsidRDefault="00641905" w:rsidP="00641905">
      <w:pPr>
        <w:numPr>
          <w:ilvl w:val="1"/>
          <w:numId w:val="1"/>
        </w:numPr>
        <w:shd w:val="clear" w:color="auto" w:fill="FFFFFF"/>
        <w:spacing w:after="0" w:line="240" w:lineRule="auto"/>
        <w:ind w:left="1440"/>
        <w:jc w:val="both"/>
        <w:rPr>
          <w:rFonts w:ascii="Trebuchet MS" w:eastAsia="Times New Roman" w:hAnsi="Trebuchet MS"/>
          <w:b/>
          <w:iCs/>
          <w:color w:val="1B4D7F"/>
          <w:spacing w:val="-2"/>
          <w:kern w:val="0"/>
          <w:u w:val="single"/>
          <w:shd w:val="clear" w:color="auto" w:fill="FFFFFF"/>
        </w:rPr>
      </w:pPr>
      <w:r>
        <w:rPr>
          <w:rFonts w:ascii="Trebuchet MS" w:eastAsia="Times New Roman" w:hAnsi="Trebuchet MS"/>
          <w:b/>
          <w:iCs/>
          <w:color w:val="1B4D7F"/>
          <w:spacing w:val="-2"/>
          <w:kern w:val="0"/>
          <w:u w:val="single"/>
          <w:shd w:val="clear" w:color="auto" w:fill="FFFFFF"/>
        </w:rPr>
        <w:t>INTERREG VI-A РУМЪНИЯ–БЪЛГАРИЯ</w:t>
      </w:r>
    </w:p>
    <w:p w14:paraId="6A42D670"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21298744"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roofErr w:type="spellStart"/>
      <w:r>
        <w:rPr>
          <w:rFonts w:ascii="Trebuchet MS" w:eastAsia="Times New Roman" w:hAnsi="Trebuchet MS"/>
          <w:bCs/>
          <w:iCs/>
          <w:spacing w:val="-2"/>
          <w:kern w:val="0"/>
          <w:shd w:val="clear" w:color="auto" w:fill="FFFFFF"/>
        </w:rPr>
        <w:t>Interreg</w:t>
      </w:r>
      <w:proofErr w:type="spellEnd"/>
      <w:r>
        <w:rPr>
          <w:rFonts w:ascii="Trebuchet MS" w:eastAsia="Times New Roman" w:hAnsi="Trebuchet MS"/>
          <w:bCs/>
          <w:iCs/>
          <w:spacing w:val="-2"/>
          <w:kern w:val="0"/>
          <w:shd w:val="clear" w:color="auto" w:fill="FFFFFF"/>
        </w:rPr>
        <w:t xml:space="preserve"> VI-A </w:t>
      </w:r>
      <w:proofErr w:type="spellStart"/>
      <w:r>
        <w:rPr>
          <w:rFonts w:ascii="Trebuchet MS" w:eastAsia="Times New Roman" w:hAnsi="Trebuchet MS"/>
          <w:bCs/>
          <w:iCs/>
          <w:spacing w:val="-2"/>
          <w:kern w:val="0"/>
          <w:shd w:val="clear" w:color="auto" w:fill="FFFFFF"/>
        </w:rPr>
        <w:t>Romania</w:t>
      </w:r>
      <w:proofErr w:type="spellEnd"/>
      <w:r>
        <w:rPr>
          <w:rFonts w:ascii="Trebuchet MS" w:eastAsia="Times New Roman" w:hAnsi="Trebuchet MS"/>
          <w:bCs/>
          <w:iCs/>
          <w:spacing w:val="-2"/>
          <w:kern w:val="0"/>
          <w:shd w:val="clear" w:color="auto" w:fill="FFFFFF"/>
        </w:rPr>
        <w:t>–</w:t>
      </w:r>
      <w:proofErr w:type="spellStart"/>
      <w:r>
        <w:rPr>
          <w:rFonts w:ascii="Trebuchet MS" w:eastAsia="Times New Roman" w:hAnsi="Trebuchet MS"/>
          <w:bCs/>
          <w:iCs/>
          <w:spacing w:val="-2"/>
          <w:kern w:val="0"/>
          <w:shd w:val="clear" w:color="auto" w:fill="FFFFFF"/>
        </w:rPr>
        <w:t>Bulgaria</w:t>
      </w:r>
      <w:proofErr w:type="spellEnd"/>
      <w:r>
        <w:rPr>
          <w:rFonts w:ascii="Trebuchet MS" w:eastAsia="Times New Roman" w:hAnsi="Trebuchet MS"/>
          <w:bCs/>
          <w:iCs/>
          <w:spacing w:val="-2"/>
          <w:kern w:val="0"/>
          <w:shd w:val="clear" w:color="auto" w:fill="FFFFFF"/>
        </w:rPr>
        <w:t xml:space="preserve"> е трансгранична програма, финансирана по Европейския фонд за регионално развитие за периода 2021–2027. Общият бюджет на програмата, включително техническата помощ, е 207,457,162 евро, от които </w:t>
      </w:r>
      <w:r>
        <w:rPr>
          <w:rFonts w:ascii="Trebuchet MS" w:eastAsia="Times New Roman" w:hAnsi="Trebuchet MS"/>
          <w:bCs/>
          <w:iCs/>
          <w:spacing w:val="-2"/>
          <w:kern w:val="0"/>
          <w:shd w:val="clear" w:color="auto" w:fill="FFFFFF"/>
        </w:rPr>
        <w:lastRenderedPageBreak/>
        <w:t>163,497,401 евро, отпуснати от ЕФРР. Общата налична сума за проекти е 191 001 637,50 евро (от които 152 801 310,00 средства от ЕФРР).</w:t>
      </w:r>
    </w:p>
    <w:p w14:paraId="513709DA"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Програмата има ключово значение за български и румънски организации, които искат да работят заедно по общ проблем в трансграничния район в сферата на образованието, социалното включване, местното развитие, културата, туризма, </w:t>
      </w:r>
      <w:proofErr w:type="spellStart"/>
      <w:r>
        <w:rPr>
          <w:rFonts w:ascii="Trebuchet MS" w:eastAsia="Times New Roman" w:hAnsi="Trebuchet MS"/>
          <w:bCs/>
          <w:iCs/>
          <w:spacing w:val="-2"/>
          <w:kern w:val="0"/>
          <w:shd w:val="clear" w:color="auto" w:fill="FFFFFF"/>
        </w:rPr>
        <w:t>сигурносття</w:t>
      </w:r>
      <w:proofErr w:type="spellEnd"/>
      <w:r>
        <w:rPr>
          <w:rFonts w:ascii="Trebuchet MS" w:eastAsia="Times New Roman" w:hAnsi="Trebuchet MS"/>
          <w:bCs/>
          <w:iCs/>
          <w:spacing w:val="-2"/>
          <w:kern w:val="0"/>
          <w:shd w:val="clear" w:color="auto" w:fill="FFFFFF"/>
        </w:rPr>
        <w:t xml:space="preserve">, зелените инициативи или общностните услуги. </w:t>
      </w:r>
    </w:p>
    <w:p w14:paraId="4781DB58"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Географският обхват на програмата включва 7 окръга в Южна Румъния — </w:t>
      </w:r>
      <w:proofErr w:type="spellStart"/>
      <w:r>
        <w:rPr>
          <w:rFonts w:ascii="Trebuchet MS" w:eastAsia="Times New Roman" w:hAnsi="Trebuchet MS"/>
          <w:bCs/>
          <w:iCs/>
          <w:spacing w:val="-2"/>
          <w:kern w:val="0"/>
          <w:shd w:val="clear" w:color="auto" w:fill="FFFFFF"/>
        </w:rPr>
        <w:t>Мехединци</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Долж</w:t>
      </w:r>
      <w:proofErr w:type="spellEnd"/>
      <w:r>
        <w:rPr>
          <w:rFonts w:ascii="Trebuchet MS" w:eastAsia="Times New Roman" w:hAnsi="Trebuchet MS"/>
          <w:bCs/>
          <w:iCs/>
          <w:spacing w:val="-2"/>
          <w:kern w:val="0"/>
          <w:shd w:val="clear" w:color="auto" w:fill="FFFFFF"/>
        </w:rPr>
        <w:t xml:space="preserve">, Олт, Телеорман, </w:t>
      </w:r>
      <w:proofErr w:type="spellStart"/>
      <w:r>
        <w:rPr>
          <w:rFonts w:ascii="Trebuchet MS" w:eastAsia="Times New Roman" w:hAnsi="Trebuchet MS"/>
          <w:bCs/>
          <w:iCs/>
          <w:spacing w:val="-2"/>
          <w:kern w:val="0"/>
          <w:shd w:val="clear" w:color="auto" w:fill="FFFFFF"/>
        </w:rPr>
        <w:t>Джурджу</w:t>
      </w:r>
      <w:proofErr w:type="spellEnd"/>
      <w:r>
        <w:rPr>
          <w:rFonts w:ascii="Trebuchet MS" w:eastAsia="Times New Roman" w:hAnsi="Trebuchet MS"/>
          <w:bCs/>
          <w:iCs/>
          <w:spacing w:val="-2"/>
          <w:kern w:val="0"/>
          <w:shd w:val="clear" w:color="auto" w:fill="FFFFFF"/>
        </w:rPr>
        <w:t>, Кълъраш и Констанца — и 8 области в Северна България — Видин, Монтана, Враца, Плевен, Велико Търново, Русе, Добрич и Силистра. Допускат се и кандидати извън програмната зона от България и Румъния само в изключителни случаи и ако участието им носи полза за програмната зона.</w:t>
      </w:r>
    </w:p>
    <w:p w14:paraId="5BC88F11"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Финансирането по програмата е структурирано по приоритети, както следва:</w:t>
      </w:r>
    </w:p>
    <w:p w14:paraId="38255FAF"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Програмата е организирана по 4 приоритета, разбити на 5 конкретни цели, както следва:</w:t>
      </w:r>
    </w:p>
    <w:p w14:paraId="0CD4949E" w14:textId="77777777" w:rsidR="00641905" w:rsidRDefault="00641905" w:rsidP="00641905">
      <w:pPr>
        <w:numPr>
          <w:ilvl w:val="0"/>
          <w:numId w:val="2"/>
        </w:num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Приоритет 1: Добре свързан регион</w:t>
      </w:r>
    </w:p>
    <w:p w14:paraId="52563548"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Общ бюджет, включително фондовете за техническа помощ: 27.15 милиона евро (21.40 милиона евро ЕФРР). Наличното разпределение за проекти: 25 милиона евро (20 милиона евро от ЕФРР).</w:t>
      </w:r>
    </w:p>
    <w:p w14:paraId="5046FAB9"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4E0D76CE" w14:textId="77777777" w:rsidR="00641905" w:rsidRDefault="00641905" w:rsidP="00641905">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 xml:space="preserve">        Специфична цел 3.2:</w:t>
      </w:r>
    </w:p>
    <w:p w14:paraId="75939061"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3916C762"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Развитие и засилване на климатична устойчивост на изменението на климата, интелигентна и интермодална мобилност на национално, регионално и местно равнище, включително по-добър достъп до TEN-T и трансгранична мобилност.</w:t>
      </w:r>
    </w:p>
    <w:p w14:paraId="39EBD50A"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2758C3B1" w14:textId="77777777" w:rsidR="00641905" w:rsidRDefault="00641905" w:rsidP="00641905">
      <w:pPr>
        <w:numPr>
          <w:ilvl w:val="0"/>
          <w:numId w:val="2"/>
        </w:num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Приоритет 2: По-зелен регион</w:t>
      </w:r>
    </w:p>
    <w:p w14:paraId="135815BA"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Общ бюджет, включително фондовете за техническа помощ: 93.4 милиона евро (73.61 милиона евро ЕФРР). Наличното разпределение за проекти: 86 милиона евро (68.8 милиона евро ЕФРР).</w:t>
      </w:r>
    </w:p>
    <w:p w14:paraId="35462B6E"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5FFCF0E7" w14:textId="77777777" w:rsidR="00641905" w:rsidRDefault="00641905" w:rsidP="00641905">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 xml:space="preserve">         Специфична цел 2.4</w:t>
      </w:r>
    </w:p>
    <w:p w14:paraId="05B2B4E0"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33D19884"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Насърчаване на адаптирането към изменението на климата, предотвратяването на риска от бедствия и устойчивостта, като се вземат предвид екосистемни подходи.</w:t>
      </w:r>
    </w:p>
    <w:p w14:paraId="0AD4E110"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23CAE5E0" w14:textId="77777777" w:rsidR="00641905" w:rsidRDefault="00641905" w:rsidP="00641905">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 xml:space="preserve">        Специфична цел 2.7</w:t>
      </w:r>
    </w:p>
    <w:p w14:paraId="39E18BA8"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1CB7783C"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Подобряване на защитата и опазването на природата, биологичното разнообразие и екологосъобразната инфраструктура, включително в градските райони, и намаляване на всички форми на замърсяване.</w:t>
      </w:r>
    </w:p>
    <w:p w14:paraId="458C6539"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361403DD" w14:textId="77777777" w:rsidR="00641905" w:rsidRDefault="00641905" w:rsidP="00641905">
      <w:pPr>
        <w:numPr>
          <w:ilvl w:val="0"/>
          <w:numId w:val="2"/>
        </w:num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Приоритет 3: Образован регион</w:t>
      </w:r>
    </w:p>
    <w:p w14:paraId="38E50C0E"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Общ бюджет, включително фондовете за техническа помощ: 16.29 милиона евро (12.84 милиона евро ЕФРР). Наличното разпределение за проекти: 15 милиона евро (12 милиона евро от ЕФРР).</w:t>
      </w:r>
    </w:p>
    <w:p w14:paraId="460C3599" w14:textId="77777777" w:rsidR="00641905" w:rsidRDefault="00641905" w:rsidP="00641905">
      <w:pPr>
        <w:shd w:val="clear" w:color="auto" w:fill="FFFFFF"/>
        <w:spacing w:after="0" w:line="240" w:lineRule="auto"/>
        <w:jc w:val="both"/>
        <w:rPr>
          <w:rFonts w:ascii="Trebuchet MS" w:eastAsia="Times New Roman" w:hAnsi="Trebuchet MS"/>
          <w:b/>
          <w:iCs/>
          <w:spacing w:val="-2"/>
          <w:kern w:val="0"/>
          <w:shd w:val="clear" w:color="auto" w:fill="FFFFFF"/>
        </w:rPr>
      </w:pPr>
    </w:p>
    <w:p w14:paraId="5D71177B" w14:textId="77777777" w:rsidR="00641905" w:rsidRDefault="00641905" w:rsidP="00641905">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 xml:space="preserve">         Специфична цел 4.2</w:t>
      </w:r>
    </w:p>
    <w:p w14:paraId="569EAEE9"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20A909B2"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lastRenderedPageBreak/>
        <w:t>Подобряване на равния достъп до приобщаващи и качествени услуги в областта на образованието, обучението и ученето през целия живот чрез развитие на достъпна инфраструктура, включително чрез насърчаване на устойчивостта на образованието и обучението от разстояние и в електронна среда.</w:t>
      </w:r>
    </w:p>
    <w:p w14:paraId="0FE5BE78"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7BC8BC09" w14:textId="77777777" w:rsidR="00641905" w:rsidRDefault="00641905" w:rsidP="00641905">
      <w:pPr>
        <w:numPr>
          <w:ilvl w:val="0"/>
          <w:numId w:val="2"/>
        </w:num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Приоритет 4: Интегриран регион</w:t>
      </w:r>
    </w:p>
    <w:p w14:paraId="5EE2992F"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Общ бюджет, включително фондовете за техническа помощ: 70.60 милиона евро (55.64 милиона евро ЕФРР). Наличното разпределение за проекти: 65 милиона евро (52 милиона евро ЕФРР)</w:t>
      </w:r>
    </w:p>
    <w:p w14:paraId="361B79EA"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5720D7AE" w14:textId="77777777" w:rsidR="00641905" w:rsidRDefault="00641905" w:rsidP="00641905">
      <w:pPr>
        <w:shd w:val="clear" w:color="auto" w:fill="FFFFFF"/>
        <w:spacing w:after="0" w:line="240" w:lineRule="auto"/>
        <w:jc w:val="both"/>
        <w:rPr>
          <w:rFonts w:ascii="Trebuchet MS" w:eastAsia="Times New Roman" w:hAnsi="Trebuchet MS"/>
          <w:b/>
          <w:iCs/>
          <w:spacing w:val="-2"/>
          <w:kern w:val="0"/>
          <w:shd w:val="clear" w:color="auto" w:fill="FFFFFF"/>
        </w:rPr>
      </w:pPr>
      <w:r>
        <w:rPr>
          <w:rFonts w:ascii="Trebuchet MS" w:eastAsia="Times New Roman" w:hAnsi="Trebuchet MS"/>
          <w:b/>
          <w:iCs/>
          <w:spacing w:val="-2"/>
          <w:kern w:val="0"/>
          <w:shd w:val="clear" w:color="auto" w:fill="FFFFFF"/>
        </w:rPr>
        <w:t xml:space="preserve">       Специфична цел 5.2</w:t>
      </w:r>
    </w:p>
    <w:p w14:paraId="21FF079A"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4FD36D2B"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Насърчаване на интегрираното и приобщаващо социално, икономическо и екологично местно развитие, културата, природното наследство, устойчивия туризъм и сигурността в райони, различни от градските райони.</w:t>
      </w:r>
    </w:p>
    <w:p w14:paraId="7D0FFCBC"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Допустимостта на кандидатите се определя във всяка конкретна покана като се уточняват в Ръководството за кандидатите (</w:t>
      </w:r>
      <w:r>
        <w:rPr>
          <w:rFonts w:ascii="Trebuchet MS" w:eastAsia="Times New Roman" w:hAnsi="Trebuchet MS"/>
          <w:bCs/>
          <w:iCs/>
          <w:spacing w:val="-2"/>
          <w:kern w:val="0"/>
          <w:shd w:val="clear" w:color="auto" w:fill="FFFFFF"/>
          <w:lang w:val="en-US"/>
        </w:rPr>
        <w:t>Applicant Guide</w:t>
      </w:r>
      <w:r>
        <w:rPr>
          <w:rFonts w:ascii="Trebuchet MS" w:eastAsia="Times New Roman" w:hAnsi="Trebuchet MS"/>
          <w:bCs/>
          <w:iCs/>
          <w:spacing w:val="-2"/>
          <w:kern w:val="0"/>
          <w:shd w:val="clear" w:color="auto" w:fill="FFFFFF"/>
        </w:rPr>
        <w:t>), като обикновено включват публични органи, институции и организации, функциониращи в обществен интерес, както и НПО-та в зависимост от конкретната покана и условията. Допустимостта трябва да се проверява по всяка конкретна покана, а не да се приема автоматично за всички приоритети.</w:t>
      </w:r>
    </w:p>
    <w:p w14:paraId="695FAAA3"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Програмата изисква задължително партньорство между организации от двете страни на границата</w:t>
      </w:r>
      <w:r>
        <w:rPr>
          <w:rFonts w:ascii="Times New Roman" w:eastAsia="Times New Roman" w:hAnsi="Times New Roman"/>
          <w:kern w:val="0"/>
        </w:rPr>
        <w:t xml:space="preserve"> </w:t>
      </w:r>
      <w:r>
        <w:rPr>
          <w:rFonts w:ascii="Trebuchet MS" w:eastAsia="Times New Roman" w:hAnsi="Trebuchet MS"/>
          <w:bCs/>
          <w:iCs/>
          <w:spacing w:val="-2"/>
          <w:kern w:val="0"/>
          <w:shd w:val="clear" w:color="auto" w:fill="FFFFFF"/>
        </w:rPr>
        <w:t>като проектите се изпълняват чрез консорциуми с водещ партньор и съвместно участие на всички партньори. Трансграничният характер на дейностите е основно изискване, като проектите следва да демонстрират общ проблем, съвместни дейности и споделени резултати.</w:t>
      </w:r>
    </w:p>
    <w:p w14:paraId="16221040"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Финансирането се осъществява чрез съфинансиране от ЕФРР, което обичайно покрива около 80% от допустимите разходи, като останалата част се осигурява чрез национално съфинансиране и собствен принос. Това предполага по-високи изисквания към финансовото планиране, отчетността и административния капацитет на организациите в сравнение с други програми. Останалите 18% се осигуряват от националния държавен бюджет, както и 2% собствен принос. Това е ключова разлика спрямо Еразъм+ и ESC, при </w:t>
      </w:r>
      <w:proofErr w:type="spellStart"/>
      <w:r>
        <w:rPr>
          <w:rFonts w:ascii="Trebuchet MS" w:eastAsia="Times New Roman" w:hAnsi="Trebuchet MS"/>
          <w:bCs/>
          <w:iCs/>
          <w:spacing w:val="-2"/>
          <w:kern w:val="0"/>
          <w:shd w:val="clear" w:color="auto" w:fill="FFFFFF"/>
        </w:rPr>
        <w:t>Interreg</w:t>
      </w:r>
      <w:proofErr w:type="spellEnd"/>
      <w:r>
        <w:rPr>
          <w:rFonts w:ascii="Trebuchet MS" w:eastAsia="Times New Roman" w:hAnsi="Trebuchet MS"/>
          <w:bCs/>
          <w:iCs/>
          <w:spacing w:val="-2"/>
          <w:kern w:val="0"/>
          <w:shd w:val="clear" w:color="auto" w:fill="FFFFFF"/>
        </w:rPr>
        <w:t xml:space="preserve"> обикновено говорим за по-големи и по-формализирани бюджети, по-сериозна документация и по-строг контрол на разходите.</w:t>
      </w:r>
    </w:p>
    <w:p w14:paraId="33D62358"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Типични дейности, които могат да бъдат реализирани в рамките на програмата, включват съвместни обучения, обмен на добри практики, развитие на общностни услуги, инициативи за културно наследство и дейности, насочени към работа с уязвими групи, инфраструктурни проекти и др.. Тези дейности имат за цел да създадат устойчиви връзки между организациите и да допринесат за развитието на трансграничния регион.</w:t>
      </w:r>
    </w:p>
    <w:p w14:paraId="3916B45F"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roofErr w:type="spellStart"/>
      <w:r>
        <w:rPr>
          <w:rFonts w:ascii="Trebuchet MS" w:eastAsia="Times New Roman" w:hAnsi="Trebuchet MS"/>
          <w:bCs/>
          <w:iCs/>
          <w:spacing w:val="-2"/>
          <w:kern w:val="0"/>
          <w:shd w:val="clear" w:color="auto" w:fill="FFFFFF"/>
          <w:lang w:val="en-US"/>
        </w:rPr>
        <w:t>Проектните</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предложения</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се</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подават</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чрез</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електронната</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система</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JeMS</w:t>
      </w:r>
      <w:proofErr w:type="spellEnd"/>
      <w:r>
        <w:rPr>
          <w:rFonts w:ascii="Trebuchet MS" w:eastAsia="Times New Roman" w:hAnsi="Trebuchet MS"/>
          <w:bCs/>
          <w:iCs/>
          <w:spacing w:val="-2"/>
          <w:kern w:val="0"/>
          <w:shd w:val="clear" w:color="auto" w:fill="FFFFFF"/>
          <w:lang w:val="en-US"/>
        </w:rPr>
        <w:t xml:space="preserve"> (Joint Electronic Monitoring System), </w:t>
      </w:r>
      <w:proofErr w:type="spellStart"/>
      <w:r>
        <w:rPr>
          <w:rFonts w:ascii="Trebuchet MS" w:eastAsia="Times New Roman" w:hAnsi="Trebuchet MS"/>
          <w:bCs/>
          <w:iCs/>
          <w:spacing w:val="-2"/>
          <w:kern w:val="0"/>
          <w:shd w:val="clear" w:color="auto" w:fill="FFFFFF"/>
          <w:lang w:val="en-US"/>
        </w:rPr>
        <w:t>която</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представлява</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основната</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платформа</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за</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кандидатстване</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управление</w:t>
      </w:r>
      <w:proofErr w:type="spellEnd"/>
      <w:r>
        <w:rPr>
          <w:rFonts w:ascii="Trebuchet MS" w:eastAsia="Times New Roman" w:hAnsi="Trebuchet MS"/>
          <w:bCs/>
          <w:iCs/>
          <w:spacing w:val="-2"/>
          <w:kern w:val="0"/>
          <w:shd w:val="clear" w:color="auto" w:fill="FFFFFF"/>
          <w:lang w:val="en-US"/>
        </w:rPr>
        <w:t xml:space="preserve"> и </w:t>
      </w:r>
      <w:proofErr w:type="spellStart"/>
      <w:r>
        <w:rPr>
          <w:rFonts w:ascii="Trebuchet MS" w:eastAsia="Times New Roman" w:hAnsi="Trebuchet MS"/>
          <w:bCs/>
          <w:iCs/>
          <w:spacing w:val="-2"/>
          <w:kern w:val="0"/>
          <w:shd w:val="clear" w:color="auto" w:fill="FFFFFF"/>
          <w:lang w:val="en-US"/>
        </w:rPr>
        <w:t>отчитане</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на</w:t>
      </w:r>
      <w:proofErr w:type="spellEnd"/>
      <w:r>
        <w:rPr>
          <w:rFonts w:ascii="Trebuchet MS" w:eastAsia="Times New Roman" w:hAnsi="Trebuchet MS"/>
          <w:bCs/>
          <w:iCs/>
          <w:spacing w:val="-2"/>
          <w:kern w:val="0"/>
          <w:shd w:val="clear" w:color="auto" w:fill="FFFFFF"/>
          <w:lang w:val="en-US"/>
        </w:rPr>
        <w:t xml:space="preserve"> </w:t>
      </w:r>
      <w:proofErr w:type="spellStart"/>
      <w:r>
        <w:rPr>
          <w:rFonts w:ascii="Trebuchet MS" w:eastAsia="Times New Roman" w:hAnsi="Trebuchet MS"/>
          <w:bCs/>
          <w:iCs/>
          <w:spacing w:val="-2"/>
          <w:kern w:val="0"/>
          <w:shd w:val="clear" w:color="auto" w:fill="FFFFFF"/>
          <w:lang w:val="en-US"/>
        </w:rPr>
        <w:t>проектите</w:t>
      </w:r>
      <w:proofErr w:type="spellEnd"/>
      <w:r>
        <w:rPr>
          <w:rFonts w:ascii="Trebuchet MS" w:eastAsia="Times New Roman" w:hAnsi="Trebuchet MS"/>
          <w:bCs/>
          <w:iCs/>
          <w:spacing w:val="-2"/>
          <w:kern w:val="0"/>
          <w:shd w:val="clear" w:color="auto" w:fill="FFFFFF"/>
          <w:lang w:val="en-US"/>
        </w:rPr>
        <w:t>.</w:t>
      </w:r>
    </w:p>
    <w:p w14:paraId="37126C57"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58D3188D"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roofErr w:type="spellStart"/>
      <w:r>
        <w:rPr>
          <w:rFonts w:ascii="Trebuchet MS" w:eastAsia="Times New Roman" w:hAnsi="Trebuchet MS"/>
          <w:bCs/>
          <w:iCs/>
          <w:spacing w:val="-2"/>
          <w:kern w:val="0"/>
          <w:shd w:val="clear" w:color="auto" w:fill="FFFFFF"/>
        </w:rPr>
        <w:t>JeMS</w:t>
      </w:r>
      <w:proofErr w:type="spellEnd"/>
    </w:p>
    <w:p w14:paraId="3561B5FC"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hyperlink r:id="rId9" w:history="1">
        <w:r>
          <w:rPr>
            <w:rStyle w:val="ae"/>
            <w:rFonts w:ascii="Trebuchet MS" w:eastAsia="Times New Roman" w:hAnsi="Trebuchet MS"/>
            <w:bCs/>
            <w:iCs/>
            <w:spacing w:val="-2"/>
            <w:kern w:val="0"/>
            <w:shd w:val="clear" w:color="auto" w:fill="FFFFFF"/>
            <w:lang w:val="en-US"/>
          </w:rPr>
          <w:t>https://jems-robg.mdlpa.ro/no-auth/login?ref=%2Fapp%2Fdashboard</w:t>
        </w:r>
      </w:hyperlink>
      <w:r>
        <w:rPr>
          <w:rFonts w:ascii="Trebuchet MS" w:eastAsia="Times New Roman" w:hAnsi="Trebuchet MS"/>
          <w:bCs/>
          <w:iCs/>
          <w:spacing w:val="-2"/>
          <w:kern w:val="0"/>
          <w:shd w:val="clear" w:color="auto" w:fill="FFFFFF"/>
          <w:lang w:val="en-US"/>
        </w:rPr>
        <w:t xml:space="preserve"> </w:t>
      </w:r>
    </w:p>
    <w:p w14:paraId="008F5972"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1667162D"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Линк към сайта на програмата</w:t>
      </w:r>
    </w:p>
    <w:p w14:paraId="0BCA72D3"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hyperlink r:id="rId10" w:history="1">
        <w:r>
          <w:rPr>
            <w:rStyle w:val="ae"/>
            <w:rFonts w:ascii="Trebuchet MS" w:eastAsia="Times New Roman" w:hAnsi="Trebuchet MS"/>
            <w:bCs/>
            <w:iCs/>
            <w:spacing w:val="-2"/>
            <w:kern w:val="0"/>
            <w:shd w:val="clear" w:color="auto" w:fill="FFFFFF"/>
          </w:rPr>
          <w:t>https://interregviarobg.eu/bg/obshcha-informatsiya</w:t>
        </w:r>
      </w:hyperlink>
      <w:r>
        <w:rPr>
          <w:rFonts w:ascii="Trebuchet MS" w:eastAsia="Times New Roman" w:hAnsi="Trebuchet MS"/>
          <w:bCs/>
          <w:iCs/>
          <w:spacing w:val="-2"/>
          <w:kern w:val="0"/>
          <w:shd w:val="clear" w:color="auto" w:fill="FFFFFF"/>
        </w:rPr>
        <w:t xml:space="preserve"> </w:t>
      </w:r>
    </w:p>
    <w:p w14:paraId="70A3C9A6"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567BE851"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Подробните условия за участие са публикувани в официалните документи на програмата, включително Ръководството за </w:t>
      </w:r>
      <w:proofErr w:type="spellStart"/>
      <w:r>
        <w:rPr>
          <w:rFonts w:ascii="Trebuchet MS" w:eastAsia="Times New Roman" w:hAnsi="Trebuchet MS"/>
          <w:bCs/>
          <w:iCs/>
          <w:spacing w:val="-2"/>
          <w:kern w:val="0"/>
          <w:shd w:val="clear" w:color="auto" w:fill="FFFFFF"/>
        </w:rPr>
        <w:t>канддитастване</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Applicant</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Guides</w:t>
      </w:r>
      <w:proofErr w:type="spellEnd"/>
      <w:r>
        <w:rPr>
          <w:rFonts w:ascii="Trebuchet MS" w:eastAsia="Times New Roman" w:hAnsi="Trebuchet MS"/>
          <w:bCs/>
          <w:iCs/>
          <w:spacing w:val="-2"/>
          <w:kern w:val="0"/>
          <w:shd w:val="clear" w:color="auto" w:fill="FFFFFF"/>
        </w:rPr>
        <w:t xml:space="preserve">) и Ръководството за изпълнение на проекти (Project </w:t>
      </w:r>
      <w:proofErr w:type="spellStart"/>
      <w:r>
        <w:rPr>
          <w:rFonts w:ascii="Trebuchet MS" w:eastAsia="Times New Roman" w:hAnsi="Trebuchet MS"/>
          <w:bCs/>
          <w:iCs/>
          <w:spacing w:val="-2"/>
          <w:kern w:val="0"/>
          <w:shd w:val="clear" w:color="auto" w:fill="FFFFFF"/>
        </w:rPr>
        <w:t>Implementation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Manual</w:t>
      </w:r>
      <w:proofErr w:type="spellEnd"/>
      <w:r>
        <w:rPr>
          <w:rFonts w:ascii="Trebuchet MS" w:eastAsia="Times New Roman" w:hAnsi="Trebuchet MS"/>
          <w:bCs/>
          <w:iCs/>
          <w:spacing w:val="-2"/>
          <w:kern w:val="0"/>
          <w:shd w:val="clear" w:color="auto" w:fill="FFFFFF"/>
        </w:rPr>
        <w:t>).</w:t>
      </w:r>
    </w:p>
    <w:p w14:paraId="6A8C4929"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Програмата е релевантна в случаи, когато проектната идея има ясно изразен трансграничен характер и създава добавена стойност за двете страни на границата. Тя е много подходяща и за реализиране на инфраструктурни проекти. </w:t>
      </w:r>
    </w:p>
    <w:p w14:paraId="22DF8CA7"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Водещо при кандидатстването по програмата е наличието на трансграничен характер на дейностите и резултатите, при липсата на такъв елемент тя не представлява подходящ инструмент за финансиране, което подчертава значението на реалното партньорство и съвместното планиране на дейностите от организации от двете страни на границата.</w:t>
      </w:r>
    </w:p>
    <w:p w14:paraId="7523A593"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    </w:t>
      </w:r>
    </w:p>
    <w:p w14:paraId="73940078" w14:textId="77777777" w:rsidR="00641905" w:rsidRDefault="00641905" w:rsidP="00641905">
      <w:pPr>
        <w:numPr>
          <w:ilvl w:val="1"/>
          <w:numId w:val="1"/>
        </w:numPr>
        <w:shd w:val="clear" w:color="auto" w:fill="FFFFFF"/>
        <w:spacing w:after="0" w:line="240" w:lineRule="auto"/>
        <w:ind w:left="1440"/>
        <w:jc w:val="both"/>
        <w:rPr>
          <w:rFonts w:ascii="Trebuchet MS" w:eastAsia="Times New Roman" w:hAnsi="Trebuchet MS"/>
          <w:bCs/>
          <w:iCs/>
          <w:color w:val="1B4D7F"/>
          <w:spacing w:val="-2"/>
          <w:kern w:val="0"/>
          <w:u w:val="single"/>
          <w:shd w:val="clear" w:color="auto" w:fill="FFFFFF"/>
        </w:rPr>
      </w:pPr>
      <w:r>
        <w:rPr>
          <w:rFonts w:ascii="Trebuchet MS" w:eastAsia="Times New Roman" w:hAnsi="Trebuchet MS"/>
          <w:bCs/>
          <w:iCs/>
          <w:color w:val="1B4D7F"/>
          <w:spacing w:val="-2"/>
          <w:kern w:val="0"/>
          <w:u w:val="single"/>
          <w:shd w:val="clear" w:color="auto" w:fill="FFFFFF"/>
        </w:rPr>
        <w:t>ЕВРОПЕЙСКИ СОЦИАЛЕН ФОНД+ (ESF+)</w:t>
      </w:r>
    </w:p>
    <w:p w14:paraId="0FE2F668" w14:textId="77777777" w:rsidR="00641905" w:rsidRDefault="00641905" w:rsidP="00641905">
      <w:pPr>
        <w:shd w:val="clear" w:color="auto" w:fill="FFFFFF"/>
        <w:spacing w:after="0" w:line="240" w:lineRule="auto"/>
        <w:ind w:left="1440"/>
        <w:jc w:val="both"/>
        <w:rPr>
          <w:rFonts w:ascii="Trebuchet MS" w:eastAsia="Times New Roman" w:hAnsi="Trebuchet MS"/>
          <w:bCs/>
          <w:iCs/>
          <w:color w:val="1B4D7F"/>
          <w:spacing w:val="-2"/>
          <w:kern w:val="0"/>
          <w:shd w:val="clear" w:color="auto" w:fill="FFFFFF"/>
        </w:rPr>
      </w:pPr>
    </w:p>
    <w:p w14:paraId="11139C2C"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Европейският социален фонд плюс (ESF+) представлява основният инструмент на Европейския съюз за инвестиции в хора, заетост, социално включване и образование в рамките на програмния период 2021–2027г. Програмата обединява няколко предходни финансови инструмента и разполага със значителен бюджет, надхвърлящ 99 млрд. евро, което я прави един от най-важните механизми за финансиране на социални политики в Европейския съюз.</w:t>
      </w:r>
    </w:p>
    <w:p w14:paraId="385AF3CA"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 xml:space="preserve">За разлика от програми, насочени към мобилност и обмен, като </w:t>
      </w:r>
      <w:proofErr w:type="spellStart"/>
      <w:r>
        <w:rPr>
          <w:rFonts w:ascii="Trebuchet MS" w:eastAsia="Times New Roman" w:hAnsi="Trebuchet MS"/>
          <w:kern w:val="0"/>
        </w:rPr>
        <w:t>Erasmus</w:t>
      </w:r>
      <w:proofErr w:type="spellEnd"/>
      <w:r>
        <w:rPr>
          <w:rFonts w:ascii="Trebuchet MS" w:eastAsia="Times New Roman" w:hAnsi="Trebuchet MS"/>
          <w:kern w:val="0"/>
        </w:rPr>
        <w:t>+, ESF+ има изразен фокус върху реални социални интервенции, предоставяне на услуги и дългосрочно въздействие върху общностите. В този смисъл програмата е особено релевантна за неправителствени, религиозни и социални организации, които работят със социално уязвими групи, предоставят социални услуги или реализират дейности, насочени към намаляване на бедността, безработицата и социалното изключване.</w:t>
      </w:r>
    </w:p>
    <w:p w14:paraId="144761E1"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В рамките на програмата се финансират дейности, свързани с предоставяне на социални услуги, образование и обучение, насърчаване на заетостта и предприемачеството, както и инициативи за социално включване и работа с уязвими групи. Тези дейности позволяват на организациите да реализират устойчиви проекти с дългосрочен ефект, насочени към подобряване на качеството на живот в общността.</w:t>
      </w:r>
    </w:p>
    <w:p w14:paraId="1182B1E2"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Допустими кандидати по програмата са различни типове организации, включително неправителствени организации, социални предприятия, религиозни структури, когато осъществяват социална дейност, както и публични институции и местни власти. Проектите могат да бъдат реализирани, както индивидуално, така и в партньорство, като сътрудничеството с публични органи често увеличава ефективността и устойчивостта на дейностите.</w:t>
      </w:r>
    </w:p>
    <w:p w14:paraId="5DEEE6F8"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Финансирането по ESF+ се управлява на национално ниво чрез оперативни програми, като в България основният инструмент е Програма „Развитие на човешките ресурси“. Процентът на съфинансиране обикновено е висок, като европейските средства покриват значителна част от бюджета, а собственото участие на организациите е сравнително ограничено.</w:t>
      </w:r>
    </w:p>
    <w:p w14:paraId="311F96F4"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 xml:space="preserve">Типични примери за дейности, финансирани по програмата, включват създаване и развитие на социални услуги, програми за грижа за възрастни хора, обучение и интеграция на безработни лица, както и услуги за деца и младежи в риск. Тези дейности са особено подходящи за организации, които работят дългосрочно на </w:t>
      </w:r>
      <w:r>
        <w:rPr>
          <w:rFonts w:ascii="Trebuchet MS" w:eastAsia="Times New Roman" w:hAnsi="Trebuchet MS"/>
          <w:kern w:val="0"/>
        </w:rPr>
        <w:lastRenderedPageBreak/>
        <w:t>местно ниво и имат капацитет да управляват по-сложни административни процеси.</w:t>
      </w:r>
    </w:p>
    <w:p w14:paraId="23EEE6D5"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Програмата е подходящ избор в случаи, когато основният фокус е върху предоставяне на реални социални услуги и устойчиво въздействие върху общността. Тя не е насочена към краткосрочни инициативи или обмен на опит, а към структурирани интервенции с дългосрочен ефект.</w:t>
      </w:r>
    </w:p>
    <w:p w14:paraId="1F1A4B34"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Достъпът до финансиране се осъществява чрез национални управляващи органи и съответните оперативни програми, като условията за кандидатстване се определят във всяка конкретна процедура.</w:t>
      </w:r>
    </w:p>
    <w:p w14:paraId="4EC3CADA" w14:textId="77777777" w:rsidR="00641905" w:rsidRDefault="00641905" w:rsidP="00641905">
      <w:pPr>
        <w:spacing w:after="0" w:line="240" w:lineRule="auto"/>
        <w:rPr>
          <w:rFonts w:ascii="Trebuchet MS" w:eastAsia="Times New Roman" w:hAnsi="Trebuchet MS"/>
          <w:kern w:val="0"/>
        </w:rPr>
      </w:pPr>
      <w:r>
        <w:rPr>
          <w:rFonts w:ascii="Trebuchet MS" w:eastAsia="Times New Roman" w:hAnsi="Trebuchet MS"/>
          <w:kern w:val="0"/>
        </w:rPr>
        <w:t>ЕВРОПЕЙСКИ СОЦИАЛЕН ФОНД+ (ESF+)</w:t>
      </w:r>
    </w:p>
    <w:p w14:paraId="4849F98B" w14:textId="77777777" w:rsidR="00641905" w:rsidRDefault="00641905" w:rsidP="00641905">
      <w:pPr>
        <w:spacing w:after="0" w:line="240" w:lineRule="auto"/>
        <w:rPr>
          <w:rFonts w:ascii="Trebuchet MS" w:eastAsia="Times New Roman" w:hAnsi="Trebuchet MS"/>
          <w:kern w:val="0"/>
        </w:rPr>
      </w:pPr>
    </w:p>
    <w:p w14:paraId="58F715FF" w14:textId="77777777" w:rsidR="00641905" w:rsidRDefault="00641905" w:rsidP="00641905">
      <w:pPr>
        <w:spacing w:after="0" w:line="240" w:lineRule="auto"/>
        <w:rPr>
          <w:rFonts w:ascii="Trebuchet MS" w:eastAsia="Times New Roman" w:hAnsi="Trebuchet MS"/>
          <w:kern w:val="0"/>
        </w:rPr>
      </w:pPr>
      <w:hyperlink r:id="rId11" w:history="1">
        <w:r>
          <w:rPr>
            <w:rStyle w:val="ae"/>
            <w:rFonts w:ascii="Trebuchet MS" w:eastAsia="Times New Roman" w:hAnsi="Trebuchet MS"/>
            <w:kern w:val="0"/>
          </w:rPr>
          <w:t>https://european-social-fund-plus.ec.europa.eu/en</w:t>
        </w:r>
      </w:hyperlink>
    </w:p>
    <w:p w14:paraId="1A13C2F0" w14:textId="77777777" w:rsidR="00641905" w:rsidRDefault="00641905" w:rsidP="00641905">
      <w:pPr>
        <w:spacing w:after="0" w:line="240" w:lineRule="auto"/>
        <w:rPr>
          <w:rFonts w:ascii="Trebuchet MS" w:eastAsia="Times New Roman" w:hAnsi="Trebuchet MS"/>
          <w:kern w:val="0"/>
        </w:rPr>
      </w:pPr>
    </w:p>
    <w:p w14:paraId="032A28DD" w14:textId="77777777" w:rsidR="00641905" w:rsidRDefault="00641905" w:rsidP="00641905">
      <w:pPr>
        <w:spacing w:after="0" w:line="240" w:lineRule="auto"/>
        <w:rPr>
          <w:rFonts w:ascii="Trebuchet MS" w:eastAsia="Times New Roman" w:hAnsi="Trebuchet MS"/>
          <w:kern w:val="0"/>
        </w:rPr>
      </w:pPr>
      <w:r>
        <w:rPr>
          <w:rFonts w:ascii="Trebuchet MS" w:eastAsia="Times New Roman" w:hAnsi="Trebuchet MS"/>
          <w:kern w:val="0"/>
        </w:rPr>
        <w:t>Кандидатстване:</w:t>
      </w:r>
    </w:p>
    <w:p w14:paraId="036E5831" w14:textId="77777777" w:rsidR="00641905" w:rsidRDefault="00641905" w:rsidP="00641905">
      <w:pPr>
        <w:numPr>
          <w:ilvl w:val="0"/>
          <w:numId w:val="3"/>
        </w:numPr>
        <w:spacing w:after="0" w:line="240" w:lineRule="auto"/>
        <w:rPr>
          <w:rFonts w:ascii="Trebuchet MS" w:eastAsia="Times New Roman" w:hAnsi="Trebuchet MS"/>
          <w:kern w:val="0"/>
        </w:rPr>
      </w:pPr>
      <w:r>
        <w:rPr>
          <w:rFonts w:ascii="Trebuchet MS" w:eastAsia="Times New Roman" w:hAnsi="Trebuchet MS"/>
          <w:kern w:val="0"/>
        </w:rPr>
        <w:t>Не е централизирано.</w:t>
      </w:r>
    </w:p>
    <w:p w14:paraId="3B3A023B" w14:textId="77777777" w:rsidR="00641905" w:rsidRDefault="00641905" w:rsidP="00641905">
      <w:pPr>
        <w:numPr>
          <w:ilvl w:val="0"/>
          <w:numId w:val="3"/>
        </w:numPr>
        <w:spacing w:after="0" w:line="240" w:lineRule="auto"/>
        <w:rPr>
          <w:rFonts w:ascii="Trebuchet MS" w:eastAsia="Times New Roman" w:hAnsi="Trebuchet MS"/>
          <w:kern w:val="0"/>
        </w:rPr>
      </w:pPr>
      <w:r>
        <w:rPr>
          <w:rFonts w:ascii="Trebuchet MS" w:eastAsia="Times New Roman" w:hAnsi="Trebuchet MS"/>
          <w:kern w:val="0"/>
        </w:rPr>
        <w:t>Извършва се чрез национални програми.</w:t>
      </w:r>
    </w:p>
    <w:p w14:paraId="3B746545" w14:textId="77777777" w:rsidR="00641905" w:rsidRDefault="00641905" w:rsidP="00641905">
      <w:pPr>
        <w:spacing w:after="0" w:line="240" w:lineRule="auto"/>
        <w:rPr>
          <w:rFonts w:ascii="Trebuchet MS" w:eastAsia="Times New Roman" w:hAnsi="Trebuchet MS"/>
          <w:kern w:val="0"/>
        </w:rPr>
      </w:pPr>
    </w:p>
    <w:p w14:paraId="7B5DDC6F" w14:textId="77777777" w:rsidR="00641905" w:rsidRDefault="00641905" w:rsidP="00641905">
      <w:pPr>
        <w:spacing w:after="0" w:line="240" w:lineRule="auto"/>
        <w:rPr>
          <w:rFonts w:ascii="Trebuchet MS" w:eastAsia="Times New Roman" w:hAnsi="Trebuchet MS"/>
          <w:kern w:val="0"/>
        </w:rPr>
      </w:pPr>
      <w:r>
        <w:rPr>
          <w:rFonts w:ascii="Trebuchet MS" w:eastAsia="Times New Roman" w:hAnsi="Trebuchet MS" w:cs="Calibri"/>
          <w:kern w:val="0"/>
        </w:rPr>
        <w:t xml:space="preserve">За </w:t>
      </w:r>
      <w:r>
        <w:rPr>
          <w:rFonts w:ascii="Trebuchet MS" w:eastAsia="Times New Roman" w:hAnsi="Trebuchet MS"/>
          <w:kern w:val="0"/>
        </w:rPr>
        <w:t>България:</w:t>
      </w:r>
    </w:p>
    <w:p w14:paraId="5ADE7C64" w14:textId="77777777" w:rsidR="00641905" w:rsidRDefault="00641905" w:rsidP="00641905">
      <w:pPr>
        <w:spacing w:after="0" w:line="240" w:lineRule="auto"/>
        <w:rPr>
          <w:rFonts w:ascii="Trebuchet MS" w:eastAsia="Times New Roman" w:hAnsi="Trebuchet MS"/>
          <w:kern w:val="0"/>
        </w:rPr>
      </w:pPr>
    </w:p>
    <w:p w14:paraId="24570217" w14:textId="77777777" w:rsidR="00641905" w:rsidRDefault="00641905" w:rsidP="00641905">
      <w:pPr>
        <w:spacing w:after="0" w:line="240" w:lineRule="auto"/>
        <w:rPr>
          <w:rFonts w:ascii="Trebuchet MS" w:eastAsia="Times New Roman" w:hAnsi="Trebuchet MS"/>
          <w:kern w:val="0"/>
          <w:lang w:val="en-US"/>
        </w:rPr>
      </w:pPr>
      <w:hyperlink r:id="rId12" w:history="1">
        <w:r>
          <w:rPr>
            <w:rStyle w:val="ae"/>
            <w:rFonts w:ascii="Trebuchet MS" w:eastAsia="Times New Roman" w:hAnsi="Trebuchet MS" w:cs="Segoe UI Emoji"/>
            <w:kern w:val="0"/>
          </w:rPr>
          <w:t>https://esf.bg/wps/portal/program-hrd/home</w:t>
        </w:r>
      </w:hyperlink>
      <w:r>
        <w:rPr>
          <w:rFonts w:ascii="Trebuchet MS" w:eastAsia="Times New Roman" w:hAnsi="Trebuchet MS" w:cs="Segoe UI Emoji"/>
          <w:kern w:val="0"/>
          <w:lang w:val="en-US"/>
        </w:rPr>
        <w:t xml:space="preserve"> </w:t>
      </w:r>
    </w:p>
    <w:p w14:paraId="38F7E633" w14:textId="77777777" w:rsidR="00641905" w:rsidRDefault="00641905" w:rsidP="00641905">
      <w:pPr>
        <w:spacing w:after="0" w:line="240" w:lineRule="auto"/>
        <w:rPr>
          <w:rFonts w:ascii="Trebuchet MS" w:eastAsia="Times New Roman" w:hAnsi="Trebuchet MS"/>
          <w:kern w:val="0"/>
        </w:rPr>
      </w:pPr>
    </w:p>
    <w:p w14:paraId="19471510" w14:textId="77777777" w:rsidR="00641905" w:rsidRDefault="00641905" w:rsidP="00641905">
      <w:pPr>
        <w:spacing w:after="0" w:line="240" w:lineRule="auto"/>
        <w:rPr>
          <w:rFonts w:ascii="Trebuchet MS" w:eastAsia="Times New Roman" w:hAnsi="Trebuchet MS"/>
          <w:kern w:val="0"/>
          <w:lang w:val="en-US"/>
        </w:rPr>
      </w:pPr>
      <w:r>
        <w:rPr>
          <w:rFonts w:eastAsia="Times New Roman" w:cs="Calibri"/>
          <w:kern w:val="0"/>
        </w:rPr>
        <w:t>За</w:t>
      </w:r>
      <w:r>
        <w:rPr>
          <w:rFonts w:ascii="Trebuchet MS" w:eastAsia="Times New Roman" w:hAnsi="Trebuchet MS"/>
          <w:kern w:val="0"/>
        </w:rPr>
        <w:t xml:space="preserve"> Румъния:</w:t>
      </w:r>
    </w:p>
    <w:p w14:paraId="56FFB4D1" w14:textId="77777777" w:rsidR="00641905" w:rsidRDefault="00641905" w:rsidP="00641905">
      <w:pPr>
        <w:spacing w:after="0" w:line="240" w:lineRule="auto"/>
        <w:rPr>
          <w:rFonts w:ascii="Trebuchet MS" w:eastAsia="Times New Roman" w:hAnsi="Trebuchet MS"/>
          <w:kern w:val="0"/>
          <w:lang w:val="en-US"/>
        </w:rPr>
      </w:pPr>
      <w:hyperlink r:id="rId13" w:history="1">
        <w:r>
          <w:rPr>
            <w:rStyle w:val="ae"/>
            <w:rFonts w:ascii="Trebuchet MS" w:eastAsia="Times New Roman" w:hAnsi="Trebuchet MS"/>
            <w:kern w:val="0"/>
            <w:lang w:val="en-US"/>
          </w:rPr>
          <w:t>https://mfe.gov.ro/</w:t>
        </w:r>
      </w:hyperlink>
      <w:r>
        <w:rPr>
          <w:rFonts w:ascii="Trebuchet MS" w:eastAsia="Times New Roman" w:hAnsi="Trebuchet MS"/>
          <w:kern w:val="0"/>
          <w:lang w:val="en-US"/>
        </w:rPr>
        <w:t xml:space="preserve"> </w:t>
      </w:r>
    </w:p>
    <w:p w14:paraId="2AC8A3FF" w14:textId="77777777" w:rsidR="00641905" w:rsidRDefault="00641905" w:rsidP="00641905">
      <w:pPr>
        <w:spacing w:after="0" w:line="240" w:lineRule="auto"/>
        <w:rPr>
          <w:rFonts w:ascii="Trebuchet MS" w:eastAsia="Times New Roman" w:hAnsi="Trebuchet MS"/>
          <w:kern w:val="0"/>
          <w:lang w:val="en-US"/>
        </w:rPr>
      </w:pPr>
    </w:p>
    <w:p w14:paraId="6E4840F4" w14:textId="77777777" w:rsidR="00641905" w:rsidRDefault="00641905" w:rsidP="00641905">
      <w:pPr>
        <w:numPr>
          <w:ilvl w:val="1"/>
          <w:numId w:val="1"/>
        </w:numPr>
        <w:spacing w:after="0" w:line="240" w:lineRule="auto"/>
        <w:ind w:left="1440"/>
        <w:jc w:val="both"/>
        <w:rPr>
          <w:rFonts w:ascii="Trebuchet MS" w:eastAsia="Times New Roman" w:hAnsi="Trebuchet MS"/>
          <w:b/>
          <w:bCs/>
          <w:color w:val="154E81"/>
          <w:kern w:val="0"/>
          <w:u w:val="single"/>
        </w:rPr>
      </w:pPr>
      <w:r>
        <w:rPr>
          <w:rFonts w:ascii="Trebuchet MS" w:eastAsia="Times New Roman" w:hAnsi="Trebuchet MS"/>
          <w:b/>
          <w:bCs/>
          <w:color w:val="154E81"/>
          <w:kern w:val="0"/>
          <w:u w:val="single"/>
        </w:rPr>
        <w:t>CERV (CITIZENS, EQUALITY, RIGHTS AND VALUES)</w:t>
      </w:r>
    </w:p>
    <w:p w14:paraId="64F0D03E" w14:textId="77777777" w:rsidR="00641905" w:rsidRDefault="00641905" w:rsidP="00641905">
      <w:pPr>
        <w:spacing w:after="0" w:line="240" w:lineRule="auto"/>
        <w:ind w:left="1440"/>
        <w:jc w:val="both"/>
        <w:rPr>
          <w:rFonts w:ascii="Trebuchet MS" w:eastAsia="Times New Roman" w:hAnsi="Trebuchet MS"/>
          <w:color w:val="6373BA"/>
          <w:kern w:val="0"/>
        </w:rPr>
      </w:pPr>
    </w:p>
    <w:p w14:paraId="0571C141"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Програмата „Граждани, равенство, права и ценности“ (</w:t>
      </w:r>
      <w:proofErr w:type="spellStart"/>
      <w:r>
        <w:rPr>
          <w:rFonts w:ascii="Trebuchet MS" w:eastAsia="Times New Roman" w:hAnsi="Trebuchet MS"/>
          <w:kern w:val="0"/>
        </w:rPr>
        <w:t>Citizens</w:t>
      </w:r>
      <w:proofErr w:type="spellEnd"/>
      <w:r>
        <w:rPr>
          <w:rFonts w:ascii="Trebuchet MS" w:eastAsia="Times New Roman" w:hAnsi="Trebuchet MS"/>
          <w:kern w:val="0"/>
        </w:rPr>
        <w:t xml:space="preserve">, </w:t>
      </w:r>
      <w:proofErr w:type="spellStart"/>
      <w:r>
        <w:rPr>
          <w:rFonts w:ascii="Trebuchet MS" w:eastAsia="Times New Roman" w:hAnsi="Trebuchet MS"/>
          <w:kern w:val="0"/>
        </w:rPr>
        <w:t>Equality</w:t>
      </w:r>
      <w:proofErr w:type="spellEnd"/>
      <w:r>
        <w:rPr>
          <w:rFonts w:ascii="Trebuchet MS" w:eastAsia="Times New Roman" w:hAnsi="Trebuchet MS"/>
          <w:kern w:val="0"/>
        </w:rPr>
        <w:t xml:space="preserve">, </w:t>
      </w:r>
      <w:proofErr w:type="spellStart"/>
      <w:r>
        <w:rPr>
          <w:rFonts w:ascii="Trebuchet MS" w:eastAsia="Times New Roman" w:hAnsi="Trebuchet MS"/>
          <w:kern w:val="0"/>
        </w:rPr>
        <w:t>Rights</w:t>
      </w:r>
      <w:proofErr w:type="spellEnd"/>
      <w:r>
        <w:rPr>
          <w:rFonts w:ascii="Trebuchet MS" w:eastAsia="Times New Roman" w:hAnsi="Trebuchet MS"/>
          <w:kern w:val="0"/>
        </w:rPr>
        <w:t xml:space="preserve"> </w:t>
      </w:r>
      <w:proofErr w:type="spellStart"/>
      <w:r>
        <w:rPr>
          <w:rFonts w:ascii="Trebuchet MS" w:eastAsia="Times New Roman" w:hAnsi="Trebuchet MS"/>
          <w:kern w:val="0"/>
        </w:rPr>
        <w:t>and</w:t>
      </w:r>
      <w:proofErr w:type="spellEnd"/>
      <w:r>
        <w:rPr>
          <w:rFonts w:ascii="Trebuchet MS" w:eastAsia="Times New Roman" w:hAnsi="Trebuchet MS"/>
          <w:kern w:val="0"/>
        </w:rPr>
        <w:t xml:space="preserve"> </w:t>
      </w:r>
      <w:proofErr w:type="spellStart"/>
      <w:r>
        <w:rPr>
          <w:rFonts w:ascii="Trebuchet MS" w:eastAsia="Times New Roman" w:hAnsi="Trebuchet MS"/>
          <w:kern w:val="0"/>
        </w:rPr>
        <w:t>Values</w:t>
      </w:r>
      <w:proofErr w:type="spellEnd"/>
      <w:r>
        <w:rPr>
          <w:rFonts w:ascii="Trebuchet MS" w:eastAsia="Times New Roman" w:hAnsi="Trebuchet MS"/>
          <w:kern w:val="0"/>
        </w:rPr>
        <w:t>) или (CERV) представлява инструмент на Европейския съюз, насочен към подкрепа на демократичните ценности, правата на човека, равенството и активното участие на гражданите в периода 2021–2027. Тя обединява няколко предходни финансови инструмента и има за цел да укрепи европейските общества чрез насърчаване на правовата държава, борба с дискриминацията и насилието, както и чрез засилване на гражданската ангажираност.</w:t>
      </w:r>
    </w:p>
    <w:p w14:paraId="780F8F36"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За разлика от програми, насочени към предоставяне на социални услуги, като Европейския социален фонд плюс (ESF+), CERV е фокусирана върху ценности, права и участие. Това я прави особено релевантна за неправителствени, религиозни и граждански организации, които работят в областта на човешките права, социалната сплотеност, междукултурния диалог и гражданското участие, както и за местни власти.</w:t>
      </w:r>
    </w:p>
    <w:p w14:paraId="07F5F817"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В рамките на програмата се финансират инициативи, свързани с насърчаване на равенството и недискриминацията, защита на основните права, развитие на демократични процеси, гражданско участие и съхраняване на историческата памет и европейските ценности. Тези дейности допринасят за изграждането на по-приобщаващи и толерантни общества.</w:t>
      </w:r>
    </w:p>
    <w:p w14:paraId="023B4C5F"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Програмата е отворена за участие на организации от държавите членки на Европейския съюз, както и на определени трети държави. В зависимост от конкретната покана, проектите могат да се реализират както на национално ниво, така и чрез международни партньорства.</w:t>
      </w:r>
    </w:p>
    <w:p w14:paraId="37ED8CF6" w14:textId="77777777" w:rsidR="00641905" w:rsidRDefault="00641905" w:rsidP="00641905">
      <w:pPr>
        <w:spacing w:after="0" w:line="240" w:lineRule="auto"/>
        <w:jc w:val="both"/>
        <w:rPr>
          <w:rFonts w:ascii="Trebuchet MS" w:eastAsia="Times New Roman" w:hAnsi="Trebuchet MS"/>
          <w:kern w:val="0"/>
          <w:lang w:val="en-US"/>
        </w:rPr>
      </w:pPr>
      <w:r>
        <w:rPr>
          <w:rFonts w:ascii="Trebuchet MS" w:eastAsia="Times New Roman" w:hAnsi="Trebuchet MS"/>
          <w:kern w:val="0"/>
        </w:rPr>
        <w:lastRenderedPageBreak/>
        <w:t>Сътрудничеството между организации от различни държави е съществен елемент в много от действията по програмата, тъй като позволява обмен на опит и съвместно разработване на инициативи с европейска добавена стойност.</w:t>
      </w:r>
    </w:p>
    <w:p w14:paraId="2F4598E8"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Допустими кандидати по програмата са неправителствени организации, структури на гражданското общество, мрежи и асоциации, както и публични институции. Това създава възможности за участие на широк кръг организации, включително религиозни структури, когато дейностите им са насочени към обществен интерес и съответстват на целите на програмата. Финансирането по CERV се управлява централизирано от Европейската комисия чрез Главна дирекция „Правосъдие и потребители“, като проектите обикновено са със среден до голям мащаб и изискват значителен организационен капацитет. Бюджетът на програмата CERV за периода 2021–2027 възлиза на приблизително 1,55 милиарда евро. Финансирането по програмата обикновено е под формата на безвъзмездна помощ, като нивото на съфинансиране е високо и в много случаи достига до 90% или 100% от допустимите разходи, в зависимост от конкретната покана и вида на действието. Това означава, че за отделните проекти може да не се изисква значително собствено финансиране от страна на бенефициентите.</w:t>
      </w:r>
    </w:p>
    <w:p w14:paraId="1C07B71A"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 xml:space="preserve">В някои направления се прилагат и опростени форми на финансиране (например еднократни суми – </w:t>
      </w:r>
      <w:proofErr w:type="spellStart"/>
      <w:r>
        <w:rPr>
          <w:rFonts w:ascii="Trebuchet MS" w:eastAsia="Times New Roman" w:hAnsi="Trebuchet MS"/>
          <w:kern w:val="0"/>
        </w:rPr>
        <w:t>lump</w:t>
      </w:r>
      <w:proofErr w:type="spellEnd"/>
      <w:r>
        <w:rPr>
          <w:rFonts w:ascii="Trebuchet MS" w:eastAsia="Times New Roman" w:hAnsi="Trebuchet MS"/>
          <w:kern w:val="0"/>
        </w:rPr>
        <w:t xml:space="preserve"> </w:t>
      </w:r>
      <w:proofErr w:type="spellStart"/>
      <w:r>
        <w:rPr>
          <w:rFonts w:ascii="Trebuchet MS" w:eastAsia="Times New Roman" w:hAnsi="Trebuchet MS"/>
          <w:kern w:val="0"/>
        </w:rPr>
        <w:t>sums</w:t>
      </w:r>
      <w:proofErr w:type="spellEnd"/>
      <w:r>
        <w:rPr>
          <w:rFonts w:ascii="Trebuchet MS" w:eastAsia="Times New Roman" w:hAnsi="Trebuchet MS"/>
          <w:kern w:val="0"/>
        </w:rPr>
        <w:t>), което улеснява управлението на проектите и намалява административната тежест за бенефициентите.</w:t>
      </w:r>
    </w:p>
    <w:p w14:paraId="6F082A79"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Типични дейности, които могат да бъдат реализирани в рамките на програмата, включват кампании за насърчаване на правата и толерантността, инициативи за междукултурен и междурелигиозен диалог, проекти за гражданско участие, както и дейности, насочени към работа с младежи и местни общности.</w:t>
      </w:r>
    </w:p>
    <w:p w14:paraId="27524F7B"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 xml:space="preserve">Проектните предложения се подават чрез EU </w:t>
      </w:r>
      <w:proofErr w:type="spellStart"/>
      <w:r>
        <w:rPr>
          <w:rFonts w:ascii="Trebuchet MS" w:eastAsia="Times New Roman" w:hAnsi="Trebuchet MS"/>
          <w:kern w:val="0"/>
        </w:rPr>
        <w:t>Funding</w:t>
      </w:r>
      <w:proofErr w:type="spellEnd"/>
      <w:r>
        <w:rPr>
          <w:rFonts w:ascii="Trebuchet MS" w:eastAsia="Times New Roman" w:hAnsi="Trebuchet MS"/>
          <w:kern w:val="0"/>
        </w:rPr>
        <w:t xml:space="preserve"> &amp; </w:t>
      </w:r>
      <w:proofErr w:type="spellStart"/>
      <w:r>
        <w:rPr>
          <w:rFonts w:ascii="Trebuchet MS" w:eastAsia="Times New Roman" w:hAnsi="Trebuchet MS"/>
          <w:kern w:val="0"/>
        </w:rPr>
        <w:t>Tenders</w:t>
      </w:r>
      <w:proofErr w:type="spellEnd"/>
      <w:r>
        <w:rPr>
          <w:rFonts w:ascii="Trebuchet MS" w:eastAsia="Times New Roman" w:hAnsi="Trebuchet MS"/>
          <w:kern w:val="0"/>
        </w:rPr>
        <w:t xml:space="preserve"> </w:t>
      </w:r>
      <w:proofErr w:type="spellStart"/>
      <w:r>
        <w:rPr>
          <w:rFonts w:ascii="Trebuchet MS" w:eastAsia="Times New Roman" w:hAnsi="Trebuchet MS"/>
          <w:kern w:val="0"/>
        </w:rPr>
        <w:t>Portal</w:t>
      </w:r>
      <w:proofErr w:type="spellEnd"/>
      <w:r>
        <w:rPr>
          <w:rFonts w:ascii="Trebuchet MS" w:eastAsia="Times New Roman" w:hAnsi="Trebuchet MS"/>
          <w:kern w:val="0"/>
        </w:rPr>
        <w:t>, който представлява основната платформа за централизирано управление на програмите на Европейския съюз. Подробните условия за кандидатстване са публикувани в официалните документи на програмата.</w:t>
      </w:r>
    </w:p>
    <w:p w14:paraId="1BBFEE56" w14:textId="77777777" w:rsidR="00641905" w:rsidRDefault="00641905" w:rsidP="00641905">
      <w:pPr>
        <w:spacing w:before="100" w:beforeAutospacing="1" w:after="100" w:afterAutospacing="1" w:line="240" w:lineRule="auto"/>
        <w:jc w:val="both"/>
        <w:rPr>
          <w:rFonts w:ascii="Trebuchet MS" w:eastAsia="Times New Roman" w:hAnsi="Trebuchet MS"/>
          <w:kern w:val="0"/>
        </w:rPr>
      </w:pPr>
      <w:hyperlink r:id="rId14" w:history="1">
        <w:r>
          <w:rPr>
            <w:rStyle w:val="ae"/>
            <w:rFonts w:ascii="Trebuchet MS" w:eastAsia="Times New Roman" w:hAnsi="Trebuchet MS"/>
            <w:kern w:val="0"/>
          </w:rPr>
          <w:t>https://ec.europa.eu/info/funding-tenders/opportunities/portal/screen/home</w:t>
        </w:r>
      </w:hyperlink>
      <w:r>
        <w:rPr>
          <w:rFonts w:ascii="Trebuchet MS" w:eastAsia="Times New Roman" w:hAnsi="Trebuchet MS"/>
          <w:kern w:val="0"/>
        </w:rPr>
        <w:t xml:space="preserve"> </w:t>
      </w:r>
    </w:p>
    <w:p w14:paraId="2D272C1D" w14:textId="77777777" w:rsidR="00641905" w:rsidRDefault="00641905" w:rsidP="00641905">
      <w:pPr>
        <w:spacing w:before="100" w:beforeAutospacing="1" w:after="100" w:afterAutospacing="1" w:line="240" w:lineRule="auto"/>
        <w:jc w:val="both"/>
        <w:rPr>
          <w:rFonts w:ascii="Trebuchet MS" w:eastAsia="Times New Roman" w:hAnsi="Trebuchet MS"/>
          <w:kern w:val="0"/>
        </w:rPr>
      </w:pPr>
      <w:hyperlink r:id="rId15" w:history="1">
        <w:r>
          <w:rPr>
            <w:rStyle w:val="ae"/>
            <w:rFonts w:ascii="Trebuchet MS" w:eastAsia="Times New Roman" w:hAnsi="Trebuchet MS"/>
            <w:kern w:val="0"/>
          </w:rPr>
          <w:t>https://ec.europa.eu/info/funding-tenders/opportunities/portal/screen/programmes/cerv</w:t>
        </w:r>
      </w:hyperlink>
      <w:r>
        <w:rPr>
          <w:rFonts w:ascii="Trebuchet MS" w:eastAsia="Times New Roman" w:hAnsi="Trebuchet MS"/>
          <w:kern w:val="0"/>
        </w:rPr>
        <w:t xml:space="preserve"> </w:t>
      </w:r>
    </w:p>
    <w:p w14:paraId="52D42A54"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Програмата е подходящ избор в случаи, когато проектната идея е насочена към насърчаване на демократичните ценности, правата на човека и активното участие на гражданите, както и когато е налице готовност за работа в международно партньорство.</w:t>
      </w:r>
    </w:p>
    <w:p w14:paraId="3068B188" w14:textId="77777777" w:rsidR="00641905" w:rsidRDefault="00641905" w:rsidP="00641905">
      <w:pPr>
        <w:spacing w:after="0" w:line="240" w:lineRule="auto"/>
        <w:jc w:val="both"/>
        <w:rPr>
          <w:rFonts w:ascii="Trebuchet MS" w:eastAsia="Times New Roman" w:hAnsi="Trebuchet MS"/>
          <w:kern w:val="0"/>
        </w:rPr>
      </w:pPr>
    </w:p>
    <w:p w14:paraId="3B6F8027" w14:textId="77777777" w:rsidR="00641905" w:rsidRDefault="00641905" w:rsidP="00641905">
      <w:pPr>
        <w:numPr>
          <w:ilvl w:val="1"/>
          <w:numId w:val="1"/>
        </w:numPr>
        <w:spacing w:after="0" w:line="240" w:lineRule="auto"/>
        <w:ind w:left="1440"/>
        <w:jc w:val="both"/>
        <w:rPr>
          <w:rFonts w:ascii="Trebuchet MS" w:eastAsia="Times New Roman" w:hAnsi="Trebuchet MS"/>
          <w:color w:val="154E81"/>
          <w:kern w:val="0"/>
          <w:u w:val="single"/>
        </w:rPr>
      </w:pPr>
      <w:r>
        <w:rPr>
          <w:rFonts w:ascii="Trebuchet MS" w:eastAsia="Times New Roman" w:hAnsi="Trebuchet MS"/>
          <w:color w:val="154E81"/>
          <w:kern w:val="0"/>
          <w:u w:val="single"/>
          <w:lang w:val="en-US"/>
        </w:rPr>
        <w:t>LIFE PROGRAMME</w:t>
      </w:r>
    </w:p>
    <w:p w14:paraId="3F943887" w14:textId="77777777" w:rsidR="00641905" w:rsidRDefault="00641905" w:rsidP="00641905">
      <w:pPr>
        <w:spacing w:after="0" w:line="240" w:lineRule="auto"/>
        <w:ind w:left="1440"/>
        <w:jc w:val="both"/>
        <w:rPr>
          <w:rFonts w:ascii="Trebuchet MS" w:eastAsia="Times New Roman" w:hAnsi="Trebuchet MS"/>
          <w:kern w:val="0"/>
        </w:rPr>
      </w:pPr>
    </w:p>
    <w:p w14:paraId="34495D26"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Програмата LIFE представлява инструмент на Европейския съюз за финансиране на дейности в областта на околната среда, опазването на природата и борбата с климатичните промени за програмния период 2021–2027. Тя подкрепя разработването и прилагането на иновативни решения, политики и добри практики, които допринасят за устойчивото развитие и ефективното управление на природните ресурси.</w:t>
      </w:r>
    </w:p>
    <w:p w14:paraId="7D8746EE"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 xml:space="preserve">Програмата има ключова роля в изпълнението на Европейската зелена сделка и подпомага прехода към нисковъглеродна и ресурсно ефективна икономика. За </w:t>
      </w:r>
      <w:r>
        <w:rPr>
          <w:rFonts w:ascii="Trebuchet MS" w:eastAsia="Times New Roman" w:hAnsi="Trebuchet MS"/>
          <w:kern w:val="0"/>
        </w:rPr>
        <w:lastRenderedPageBreak/>
        <w:t>разлика от социалните програми, насочени към предоставяне на услуги, LIFE е фокусирана върху екологични и климатични интервенции, включително дейности, насочени към промяна на поведението и насърчаване на устойчив начин на живот.</w:t>
      </w:r>
    </w:p>
    <w:p w14:paraId="49B90748"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Програмата е приложима за неправителствени, екологични, религиозни и други организации, които реализират инициативи в областта на опазването на околната среда, екологичното образование и устойчивото развитие на общностите. В този контекст тя предоставя възможности за работа с местни общности, развитие на екологични практики и повишаване на обществената осведоменост по въпроси, свързани с климата и природата.</w:t>
      </w:r>
    </w:p>
    <w:p w14:paraId="5A592182"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В рамките на програмата се финансират дейности, свързани с опазване на биоразнообразието, климатични действия, устойчиви практики и екологични иновации. Тези дейности могат да бъдат реализирани както на национално, така и на международно ниво, в зависимост от обхвата и целите на проекта.</w:t>
      </w:r>
    </w:p>
    <w:p w14:paraId="28675597"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Допустими кандидати по програмата са различни типове организации, включително неправителствени организации, публични органи и други институции, които имат капацитет да реализират проекти с екологична насоченост. Проектите могат да бъдат изпълнявани както индивидуално, така и в партньорство, в зависимост от тяхната сложност и обхват.</w:t>
      </w:r>
    </w:p>
    <w:p w14:paraId="1F4B41C6"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Финансирането по програмата обикновено покрива значителна част от разходите, като съфинансирането варира в зависимост от типа проект. Проектите често са със сравнително по-голям бюджет и изискват добро техническо планиране, което предполага наличието на подходящ организационен капацитет.</w:t>
      </w:r>
    </w:p>
    <w:p w14:paraId="2526FA16"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Типични дейности, които могат да бъдат реализирани в рамките на програмата, включват екологични кампании, работа с общности за насърчаване на устойчиво поведение, инициативи за опазване на природни ресурси и проекти, свързани със зелени иновации. Тези дейности са насочени към постигане на дългосрочен ефект върху околната среда и обществото.</w:t>
      </w:r>
    </w:p>
    <w:p w14:paraId="6354D776"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 xml:space="preserve">Проектните предложения се подават чрез EU </w:t>
      </w:r>
      <w:proofErr w:type="spellStart"/>
      <w:r>
        <w:rPr>
          <w:rFonts w:ascii="Trebuchet MS" w:eastAsia="Times New Roman" w:hAnsi="Trebuchet MS"/>
          <w:kern w:val="0"/>
        </w:rPr>
        <w:t>Funding</w:t>
      </w:r>
      <w:proofErr w:type="spellEnd"/>
      <w:r>
        <w:rPr>
          <w:rFonts w:ascii="Trebuchet MS" w:eastAsia="Times New Roman" w:hAnsi="Trebuchet MS"/>
          <w:kern w:val="0"/>
        </w:rPr>
        <w:t xml:space="preserve"> &amp; </w:t>
      </w:r>
      <w:proofErr w:type="spellStart"/>
      <w:r>
        <w:rPr>
          <w:rFonts w:ascii="Trebuchet MS" w:eastAsia="Times New Roman" w:hAnsi="Trebuchet MS"/>
          <w:kern w:val="0"/>
        </w:rPr>
        <w:t>Tenders</w:t>
      </w:r>
      <w:proofErr w:type="spellEnd"/>
      <w:r>
        <w:rPr>
          <w:rFonts w:ascii="Trebuchet MS" w:eastAsia="Times New Roman" w:hAnsi="Trebuchet MS"/>
          <w:kern w:val="0"/>
        </w:rPr>
        <w:t xml:space="preserve"> </w:t>
      </w:r>
      <w:proofErr w:type="spellStart"/>
      <w:r>
        <w:rPr>
          <w:rFonts w:ascii="Trebuchet MS" w:eastAsia="Times New Roman" w:hAnsi="Trebuchet MS"/>
          <w:kern w:val="0"/>
        </w:rPr>
        <w:t>Portal</w:t>
      </w:r>
      <w:proofErr w:type="spellEnd"/>
      <w:r>
        <w:rPr>
          <w:rFonts w:ascii="Trebuchet MS" w:eastAsia="Times New Roman" w:hAnsi="Trebuchet MS"/>
          <w:kern w:val="0"/>
        </w:rPr>
        <w:t xml:space="preserve">, който представлява основната платформа за централизирано кандидатстване по програмите на Европейския съюз. </w:t>
      </w:r>
    </w:p>
    <w:p w14:paraId="48DAAFEB"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Подробните условия за участие са публикувани в официалните документи на програмата</w:t>
      </w:r>
      <w:r>
        <w:rPr>
          <w:rFonts w:ascii="Trebuchet MS" w:eastAsia="Times New Roman" w:hAnsi="Trebuchet MS"/>
          <w:b/>
          <w:bCs/>
          <w:kern w:val="0"/>
        </w:rPr>
        <w:t>.</w:t>
      </w:r>
    </w:p>
    <w:p w14:paraId="089BB359" w14:textId="77777777" w:rsidR="00641905" w:rsidRDefault="00641905" w:rsidP="00641905">
      <w:pPr>
        <w:spacing w:after="0" w:line="240" w:lineRule="auto"/>
        <w:rPr>
          <w:rFonts w:ascii="Trebuchet MS" w:eastAsia="Times New Roman" w:hAnsi="Trebuchet MS"/>
          <w:kern w:val="0"/>
          <w:lang w:val="en-US"/>
        </w:rPr>
      </w:pPr>
      <w:hyperlink r:id="rId16" w:history="1">
        <w:r>
          <w:rPr>
            <w:rStyle w:val="ae"/>
            <w:rFonts w:ascii="Trebuchet MS" w:eastAsia="Times New Roman" w:hAnsi="Trebuchet MS"/>
            <w:kern w:val="0"/>
          </w:rPr>
          <w:t>https://ec.europa.eu/info/funding-tenders/opportunities/portal/screen/home</w:t>
        </w:r>
      </w:hyperlink>
      <w:r>
        <w:rPr>
          <w:rFonts w:ascii="Trebuchet MS" w:eastAsia="Times New Roman" w:hAnsi="Trebuchet MS"/>
          <w:kern w:val="0"/>
          <w:lang w:val="en-US"/>
        </w:rPr>
        <w:t xml:space="preserve"> </w:t>
      </w:r>
    </w:p>
    <w:p w14:paraId="583C232A" w14:textId="77777777" w:rsidR="00641905" w:rsidRDefault="00641905" w:rsidP="00641905">
      <w:pPr>
        <w:spacing w:after="0" w:line="240" w:lineRule="auto"/>
        <w:rPr>
          <w:rFonts w:ascii="Trebuchet MS" w:eastAsia="Times New Roman" w:hAnsi="Trebuchet MS"/>
          <w:kern w:val="0"/>
          <w:lang w:val="en-US"/>
        </w:rPr>
      </w:pPr>
    </w:p>
    <w:p w14:paraId="161DE730" w14:textId="77777777" w:rsidR="00641905" w:rsidRDefault="00641905" w:rsidP="00641905">
      <w:pPr>
        <w:spacing w:after="0" w:line="240" w:lineRule="auto"/>
        <w:rPr>
          <w:rFonts w:ascii="Trebuchet MS" w:eastAsia="Times New Roman" w:hAnsi="Trebuchet MS"/>
          <w:kern w:val="0"/>
        </w:rPr>
      </w:pPr>
      <w:r>
        <w:rPr>
          <w:rFonts w:ascii="Trebuchet MS" w:eastAsia="Times New Roman" w:hAnsi="Trebuchet MS"/>
          <w:kern w:val="0"/>
        </w:rPr>
        <w:t>Програмата е подходящ избор в случаи, когато проектната идея е насочена към опазване на околната среда, климатични действия или устойчиво развитие и когато организацията разполага с необходимия капацитет за реализиране на по-сложни и технически проекти.</w:t>
      </w:r>
    </w:p>
    <w:p w14:paraId="143AE99E" w14:textId="77777777" w:rsidR="00641905" w:rsidRDefault="00641905" w:rsidP="00641905">
      <w:pPr>
        <w:spacing w:after="0" w:line="240" w:lineRule="auto"/>
        <w:rPr>
          <w:rFonts w:ascii="Trebuchet MS" w:eastAsia="Times New Roman" w:hAnsi="Trebuchet MS"/>
          <w:kern w:val="0"/>
        </w:rPr>
      </w:pPr>
    </w:p>
    <w:p w14:paraId="33210952" w14:textId="77777777" w:rsidR="00641905" w:rsidRDefault="00641905" w:rsidP="00641905">
      <w:pPr>
        <w:numPr>
          <w:ilvl w:val="1"/>
          <w:numId w:val="1"/>
        </w:numPr>
        <w:spacing w:after="0" w:line="240" w:lineRule="auto"/>
        <w:ind w:left="1440"/>
        <w:rPr>
          <w:rFonts w:ascii="Trebuchet MS" w:eastAsia="Times New Roman" w:hAnsi="Trebuchet MS"/>
          <w:color w:val="154E81"/>
          <w:kern w:val="0"/>
          <w:u w:val="single"/>
        </w:rPr>
      </w:pPr>
      <w:r>
        <w:rPr>
          <w:rFonts w:ascii="Trebuchet MS" w:eastAsia="Times New Roman" w:hAnsi="Trebuchet MS"/>
          <w:color w:val="154E81"/>
          <w:kern w:val="0"/>
          <w:u w:val="single"/>
        </w:rPr>
        <w:t>CREATIVE EUROPE</w:t>
      </w:r>
    </w:p>
    <w:p w14:paraId="156F6E1A" w14:textId="77777777" w:rsidR="00641905" w:rsidRDefault="00641905" w:rsidP="00641905">
      <w:pPr>
        <w:spacing w:after="0" w:line="240" w:lineRule="auto"/>
        <w:ind w:left="1440"/>
        <w:rPr>
          <w:rFonts w:ascii="Trebuchet MS" w:eastAsia="Times New Roman" w:hAnsi="Trebuchet MS"/>
          <w:color w:val="1B4D7F"/>
          <w:kern w:val="0"/>
        </w:rPr>
      </w:pPr>
    </w:p>
    <w:p w14:paraId="6EDF90B8" w14:textId="77777777" w:rsidR="00641905" w:rsidRDefault="00641905" w:rsidP="00641905">
      <w:pPr>
        <w:spacing w:after="0" w:line="240" w:lineRule="auto"/>
        <w:ind w:left="142"/>
        <w:jc w:val="both"/>
        <w:rPr>
          <w:rFonts w:ascii="Trebuchet MS" w:eastAsia="Times New Roman" w:hAnsi="Trebuchet MS"/>
          <w:kern w:val="0"/>
        </w:rPr>
      </w:pPr>
      <w:r>
        <w:rPr>
          <w:rFonts w:ascii="Trebuchet MS" w:eastAsia="Times New Roman" w:hAnsi="Trebuchet MS"/>
          <w:kern w:val="0"/>
        </w:rPr>
        <w:t>Програмата Творческа Европа (</w:t>
      </w:r>
      <w:proofErr w:type="spellStart"/>
      <w:r>
        <w:rPr>
          <w:rFonts w:ascii="Trebuchet MS" w:eastAsia="Times New Roman" w:hAnsi="Trebuchet MS"/>
          <w:kern w:val="0"/>
        </w:rPr>
        <w:t>Creative</w:t>
      </w:r>
      <w:proofErr w:type="spellEnd"/>
      <w:r>
        <w:rPr>
          <w:rFonts w:ascii="Trebuchet MS" w:eastAsia="Times New Roman" w:hAnsi="Trebuchet MS"/>
          <w:kern w:val="0"/>
        </w:rPr>
        <w:t xml:space="preserve"> </w:t>
      </w:r>
      <w:proofErr w:type="spellStart"/>
      <w:r>
        <w:rPr>
          <w:rFonts w:ascii="Trebuchet MS" w:eastAsia="Times New Roman" w:hAnsi="Trebuchet MS"/>
          <w:kern w:val="0"/>
        </w:rPr>
        <w:t>Europe</w:t>
      </w:r>
      <w:proofErr w:type="spellEnd"/>
      <w:r>
        <w:rPr>
          <w:rFonts w:ascii="Trebuchet MS" w:eastAsia="Times New Roman" w:hAnsi="Trebuchet MS"/>
          <w:kern w:val="0"/>
        </w:rPr>
        <w:t>) представлява инструмент на Европейския съюз за подкрепа на културния, творческия и аудиовизуалния сектор за програмния период 2021–2027. Тя има за цел да насърчи културното разнообразие в Европа, да укрепи конкурентоспособността на творческите индустрии и да подпомогне сътрудничеството между организации от различни държави.</w:t>
      </w:r>
    </w:p>
    <w:p w14:paraId="11BFC24E" w14:textId="77777777" w:rsidR="00641905" w:rsidRDefault="00641905" w:rsidP="00641905">
      <w:pPr>
        <w:spacing w:after="0" w:line="240" w:lineRule="auto"/>
        <w:ind w:left="142"/>
        <w:jc w:val="both"/>
        <w:rPr>
          <w:rFonts w:ascii="Trebuchet MS" w:eastAsia="Times New Roman" w:hAnsi="Trebuchet MS"/>
          <w:kern w:val="0"/>
        </w:rPr>
      </w:pPr>
      <w:r>
        <w:rPr>
          <w:rFonts w:ascii="Trebuchet MS" w:eastAsia="Times New Roman" w:hAnsi="Trebuchet MS"/>
          <w:kern w:val="0"/>
        </w:rPr>
        <w:lastRenderedPageBreak/>
        <w:t>В рамките на програмата се финансират културни проекти, артистични инициативи, международни партньорства и дейности, свързани с опазване и популяризиране на културното наследство. За разлика от програми, насочени към социални политики или услуги, Творческа Европа е фокусирана върху културата, творчеството и културното сътрудничество като средство за развитие на общностите и изграждане на европейска идентичност.</w:t>
      </w:r>
    </w:p>
    <w:p w14:paraId="048DEDB3" w14:textId="77777777" w:rsidR="00641905" w:rsidRDefault="00641905" w:rsidP="00641905">
      <w:pPr>
        <w:spacing w:after="0" w:line="240" w:lineRule="auto"/>
        <w:ind w:left="142"/>
        <w:jc w:val="both"/>
        <w:rPr>
          <w:rFonts w:ascii="Trebuchet MS" w:eastAsia="Times New Roman" w:hAnsi="Trebuchet MS"/>
          <w:kern w:val="0"/>
        </w:rPr>
      </w:pPr>
      <w:r>
        <w:rPr>
          <w:rFonts w:ascii="Trebuchet MS" w:eastAsia="Times New Roman" w:hAnsi="Trebuchet MS"/>
          <w:kern w:val="0"/>
        </w:rPr>
        <w:t>Програмата е особено релевантна за неправителствени, религиозни и граждански организации, които реализират дейности в областта на културата, изкуството и културното наследство. В този контекст тя предоставя възможности за разработване на инициативи, които съчетават култура, общност и идентичност, включително дейности, насочени към междукултурен и междурелигиозен диалог.</w:t>
      </w:r>
    </w:p>
    <w:p w14:paraId="53E4AAD1" w14:textId="77777777" w:rsidR="00641905" w:rsidRDefault="00641905" w:rsidP="00641905">
      <w:pPr>
        <w:spacing w:after="0" w:line="240" w:lineRule="auto"/>
        <w:ind w:left="142"/>
        <w:jc w:val="both"/>
        <w:rPr>
          <w:rFonts w:ascii="Trebuchet MS" w:eastAsia="Times New Roman" w:hAnsi="Trebuchet MS"/>
          <w:kern w:val="0"/>
        </w:rPr>
      </w:pPr>
      <w:r>
        <w:rPr>
          <w:rFonts w:ascii="Trebuchet MS" w:eastAsia="Times New Roman" w:hAnsi="Trebuchet MS"/>
          <w:kern w:val="0"/>
        </w:rPr>
        <w:t>Програмата обхваща държавите членки на Европейския съюз, както и партньорски страни, като проектите обикновено се реализират чрез международни партньорства. Сътрудничеството между организации от различни държави е ключов елемент, който позволява обмен на опит, съвместно създаване на културни продукти и разширяване на въздействието на дейностите.</w:t>
      </w:r>
    </w:p>
    <w:p w14:paraId="0679F603" w14:textId="77777777" w:rsidR="00641905" w:rsidRDefault="00641905" w:rsidP="00641905">
      <w:pPr>
        <w:spacing w:after="0" w:line="240" w:lineRule="auto"/>
        <w:ind w:left="142"/>
        <w:jc w:val="both"/>
        <w:rPr>
          <w:rFonts w:ascii="Trebuchet MS" w:eastAsia="Times New Roman" w:hAnsi="Trebuchet MS"/>
          <w:kern w:val="0"/>
        </w:rPr>
      </w:pPr>
      <w:r>
        <w:rPr>
          <w:rFonts w:ascii="Trebuchet MS" w:eastAsia="Times New Roman" w:hAnsi="Trebuchet MS"/>
          <w:kern w:val="0"/>
        </w:rPr>
        <w:t>Допустими кандидати по програмата са културни организации, неправителствени структури, мрежи и партньорства, които имат капацитет да реализират културни и творчески проекти. Участието в програмата обикновено изисква сътрудничество с партньори от други държави, което предполага наличие на международни контакти и опит.</w:t>
      </w:r>
    </w:p>
    <w:p w14:paraId="0FDF7BA7" w14:textId="77777777" w:rsidR="00641905" w:rsidRDefault="00641905" w:rsidP="00641905">
      <w:pPr>
        <w:spacing w:after="0" w:line="240" w:lineRule="auto"/>
        <w:ind w:left="142"/>
        <w:jc w:val="both"/>
        <w:rPr>
          <w:rFonts w:ascii="Trebuchet MS" w:eastAsia="Times New Roman" w:hAnsi="Trebuchet MS"/>
          <w:kern w:val="0"/>
        </w:rPr>
      </w:pPr>
      <w:r>
        <w:rPr>
          <w:rFonts w:ascii="Trebuchet MS" w:eastAsia="Times New Roman" w:hAnsi="Trebuchet MS"/>
          <w:kern w:val="0"/>
        </w:rPr>
        <w:t>Финансирането по програмата „Творческа Европа“ обикновено покрива между 60% и 80% от допустимите разходи в зависимост от конкретната покана и мащаба на проекта. Размерът на финансирането варира в широк диапазон – от приблизително 200 000 евро за по-малки проекти до над 1 милион евро за мащабни международни инициативи. Това означава, че организациите трябва да осигурят собствено участие в размер на приблизително 20% до 40% от бюджета на проекта, в зависимост от конкретната покана и мащаба на проекта.</w:t>
      </w:r>
    </w:p>
    <w:p w14:paraId="0B976FBE" w14:textId="77777777" w:rsidR="00641905" w:rsidRDefault="00641905" w:rsidP="00641905">
      <w:pPr>
        <w:spacing w:after="0" w:line="240" w:lineRule="auto"/>
        <w:ind w:left="142"/>
        <w:jc w:val="both"/>
        <w:rPr>
          <w:rFonts w:ascii="Trebuchet MS" w:eastAsia="Times New Roman" w:hAnsi="Trebuchet MS"/>
          <w:kern w:val="0"/>
        </w:rPr>
      </w:pPr>
      <w:r>
        <w:rPr>
          <w:rFonts w:ascii="Trebuchet MS" w:eastAsia="Times New Roman" w:hAnsi="Trebuchet MS"/>
          <w:kern w:val="0"/>
        </w:rPr>
        <w:t xml:space="preserve">Проектите по програмата се реализират чрез партньорства между организации от различни държави и често включват сложни дейности, което изисква добро планиране, координация и управленски капацитет от страна на </w:t>
      </w:r>
      <w:proofErr w:type="spellStart"/>
      <w:r>
        <w:rPr>
          <w:rFonts w:ascii="Trebuchet MS" w:eastAsia="Times New Roman" w:hAnsi="Trebuchet MS"/>
          <w:kern w:val="0"/>
        </w:rPr>
        <w:t>бенефициентите.Типични</w:t>
      </w:r>
      <w:proofErr w:type="spellEnd"/>
      <w:r>
        <w:rPr>
          <w:rFonts w:ascii="Trebuchet MS" w:eastAsia="Times New Roman" w:hAnsi="Trebuchet MS"/>
          <w:kern w:val="0"/>
        </w:rPr>
        <w:t xml:space="preserve"> дейности, които могат да бъдат реализирани в рамките на програмата, включват организиране на културни събития и фестивали, развитие на културно наследство, инициативи за междукултурен и междурелигиозен диалог, както и съвместни проекти между организации от различни държави.</w:t>
      </w:r>
    </w:p>
    <w:p w14:paraId="4BA676BB" w14:textId="77777777" w:rsidR="00641905" w:rsidRDefault="00641905" w:rsidP="00641905">
      <w:pPr>
        <w:spacing w:after="0" w:line="240" w:lineRule="auto"/>
        <w:ind w:left="142"/>
        <w:jc w:val="both"/>
        <w:rPr>
          <w:rFonts w:ascii="Trebuchet MS" w:eastAsia="Times New Roman" w:hAnsi="Trebuchet MS"/>
          <w:kern w:val="0"/>
        </w:rPr>
      </w:pPr>
      <w:r>
        <w:rPr>
          <w:rFonts w:ascii="Trebuchet MS" w:eastAsia="Times New Roman" w:hAnsi="Trebuchet MS"/>
          <w:kern w:val="0"/>
        </w:rPr>
        <w:t xml:space="preserve">Проектните предложения се подават чрез EU </w:t>
      </w:r>
      <w:proofErr w:type="spellStart"/>
      <w:r>
        <w:rPr>
          <w:rFonts w:ascii="Trebuchet MS" w:eastAsia="Times New Roman" w:hAnsi="Trebuchet MS"/>
          <w:kern w:val="0"/>
        </w:rPr>
        <w:t>Funding</w:t>
      </w:r>
      <w:proofErr w:type="spellEnd"/>
      <w:r>
        <w:rPr>
          <w:rFonts w:ascii="Trebuchet MS" w:eastAsia="Times New Roman" w:hAnsi="Trebuchet MS"/>
          <w:kern w:val="0"/>
        </w:rPr>
        <w:t xml:space="preserve"> &amp; </w:t>
      </w:r>
      <w:proofErr w:type="spellStart"/>
      <w:r>
        <w:rPr>
          <w:rFonts w:ascii="Trebuchet MS" w:eastAsia="Times New Roman" w:hAnsi="Trebuchet MS"/>
          <w:kern w:val="0"/>
        </w:rPr>
        <w:t>Tenders</w:t>
      </w:r>
      <w:proofErr w:type="spellEnd"/>
      <w:r>
        <w:rPr>
          <w:rFonts w:ascii="Trebuchet MS" w:eastAsia="Times New Roman" w:hAnsi="Trebuchet MS"/>
          <w:kern w:val="0"/>
        </w:rPr>
        <w:t xml:space="preserve"> </w:t>
      </w:r>
      <w:proofErr w:type="spellStart"/>
      <w:r>
        <w:rPr>
          <w:rFonts w:ascii="Trebuchet MS" w:eastAsia="Times New Roman" w:hAnsi="Trebuchet MS"/>
          <w:kern w:val="0"/>
        </w:rPr>
        <w:t>Portal</w:t>
      </w:r>
      <w:proofErr w:type="spellEnd"/>
      <w:r>
        <w:rPr>
          <w:rFonts w:ascii="Trebuchet MS" w:eastAsia="Times New Roman" w:hAnsi="Trebuchet MS"/>
          <w:kern w:val="0"/>
        </w:rPr>
        <w:t xml:space="preserve">, който представлява основната платформа за централизирано кандидатстване по програмите на Европейския съюз. </w:t>
      </w:r>
    </w:p>
    <w:p w14:paraId="4C25D24D" w14:textId="77777777" w:rsidR="00641905" w:rsidRDefault="00641905" w:rsidP="00641905">
      <w:pPr>
        <w:spacing w:after="0" w:line="240" w:lineRule="auto"/>
        <w:ind w:left="142"/>
        <w:jc w:val="both"/>
        <w:rPr>
          <w:rFonts w:ascii="Trebuchet MS" w:eastAsia="Times New Roman" w:hAnsi="Trebuchet MS"/>
          <w:kern w:val="0"/>
        </w:rPr>
      </w:pPr>
    </w:p>
    <w:p w14:paraId="6201C32A" w14:textId="77777777" w:rsidR="00641905" w:rsidRDefault="00641905" w:rsidP="00641905">
      <w:pPr>
        <w:spacing w:after="0" w:line="240" w:lineRule="auto"/>
        <w:ind w:left="142"/>
        <w:jc w:val="both"/>
        <w:rPr>
          <w:rFonts w:ascii="Trebuchet MS" w:eastAsia="Times New Roman" w:hAnsi="Trebuchet MS"/>
          <w:kern w:val="0"/>
        </w:rPr>
      </w:pPr>
      <w:r>
        <w:rPr>
          <w:rFonts w:ascii="Trebuchet MS" w:eastAsia="Times New Roman" w:hAnsi="Trebuchet MS"/>
          <w:kern w:val="0"/>
        </w:rPr>
        <w:t>Подробните условия за участие са публикувани в официалните документи на програмата.</w:t>
      </w:r>
    </w:p>
    <w:p w14:paraId="78A91160" w14:textId="77777777" w:rsidR="00641905" w:rsidRDefault="00641905" w:rsidP="00641905">
      <w:pPr>
        <w:spacing w:after="0" w:line="240" w:lineRule="auto"/>
        <w:ind w:left="142"/>
        <w:rPr>
          <w:rFonts w:ascii="Trebuchet MS" w:eastAsia="Times New Roman" w:hAnsi="Trebuchet MS"/>
          <w:kern w:val="0"/>
        </w:rPr>
      </w:pPr>
    </w:p>
    <w:p w14:paraId="090C7807" w14:textId="77777777" w:rsidR="00641905" w:rsidRDefault="00641905" w:rsidP="00641905">
      <w:pPr>
        <w:spacing w:after="0" w:line="240" w:lineRule="auto"/>
        <w:ind w:left="142"/>
        <w:rPr>
          <w:rFonts w:ascii="Trebuchet MS" w:eastAsia="Times New Roman" w:hAnsi="Trebuchet MS"/>
          <w:kern w:val="0"/>
        </w:rPr>
      </w:pPr>
      <w:hyperlink r:id="rId17" w:history="1">
        <w:r>
          <w:rPr>
            <w:rStyle w:val="ae"/>
            <w:rFonts w:ascii="Trebuchet MS" w:eastAsia="Times New Roman" w:hAnsi="Trebuchet MS"/>
            <w:kern w:val="0"/>
          </w:rPr>
          <w:t>https://ec.europa.eu/info/funding-tenders/opportunities/portal/screen/home</w:t>
        </w:r>
      </w:hyperlink>
    </w:p>
    <w:p w14:paraId="3E656A9A" w14:textId="77777777" w:rsidR="00641905" w:rsidRDefault="00641905" w:rsidP="00641905">
      <w:pPr>
        <w:spacing w:after="0" w:line="240" w:lineRule="auto"/>
        <w:ind w:left="142"/>
        <w:rPr>
          <w:rFonts w:ascii="Trebuchet MS" w:eastAsia="Times New Roman" w:hAnsi="Trebuchet MS"/>
          <w:kern w:val="0"/>
        </w:rPr>
      </w:pPr>
    </w:p>
    <w:p w14:paraId="53B7696A" w14:textId="77777777" w:rsidR="00641905" w:rsidRDefault="00641905" w:rsidP="00641905">
      <w:pPr>
        <w:spacing w:after="0" w:line="240" w:lineRule="auto"/>
        <w:ind w:left="142"/>
        <w:rPr>
          <w:rFonts w:ascii="Trebuchet MS" w:eastAsia="Times New Roman" w:hAnsi="Trebuchet MS"/>
          <w:b/>
          <w:bCs/>
          <w:kern w:val="0"/>
        </w:rPr>
      </w:pPr>
      <w:hyperlink r:id="rId18" w:history="1">
        <w:r>
          <w:rPr>
            <w:rStyle w:val="ae"/>
            <w:rFonts w:ascii="Trebuchet MS" w:eastAsia="Times New Roman" w:hAnsi="Trebuchet MS"/>
            <w:b/>
            <w:bCs/>
            <w:kern w:val="0"/>
          </w:rPr>
          <w:t>https://culture.ec.europa.eu/creative-europe</w:t>
        </w:r>
      </w:hyperlink>
      <w:r>
        <w:rPr>
          <w:rFonts w:ascii="Trebuchet MS" w:eastAsia="Times New Roman" w:hAnsi="Trebuchet MS"/>
          <w:b/>
          <w:bCs/>
          <w:kern w:val="0"/>
        </w:rPr>
        <w:t xml:space="preserve"> </w:t>
      </w:r>
    </w:p>
    <w:p w14:paraId="3E53EEAF" w14:textId="77777777" w:rsidR="00641905" w:rsidRDefault="00641905" w:rsidP="00641905">
      <w:pPr>
        <w:spacing w:after="0" w:line="240" w:lineRule="auto"/>
        <w:ind w:left="142"/>
        <w:rPr>
          <w:rFonts w:ascii="Trebuchet MS" w:eastAsia="Times New Roman" w:hAnsi="Trebuchet MS"/>
          <w:b/>
          <w:bCs/>
          <w:kern w:val="0"/>
        </w:rPr>
      </w:pPr>
    </w:p>
    <w:p w14:paraId="34F88DFC" w14:textId="77777777" w:rsidR="00641905" w:rsidRDefault="00641905" w:rsidP="00641905">
      <w:pPr>
        <w:spacing w:after="0" w:line="240" w:lineRule="auto"/>
        <w:rPr>
          <w:rFonts w:ascii="Trebuchet MS" w:eastAsia="Times New Roman" w:hAnsi="Trebuchet MS"/>
          <w:kern w:val="0"/>
        </w:rPr>
      </w:pPr>
      <w:r>
        <w:rPr>
          <w:rFonts w:ascii="Trebuchet MS" w:eastAsia="Times New Roman" w:hAnsi="Trebuchet MS"/>
          <w:kern w:val="0"/>
        </w:rPr>
        <w:lastRenderedPageBreak/>
        <w:t>Програмата е подходящ избор в случаи, когато проектната идея е насочена към култура, творчество и международно сътрудничество, както и когато организацията разполага с необходимия капацитет за работа в партньорска и международна среда</w:t>
      </w:r>
      <w:r>
        <w:rPr>
          <w:rFonts w:ascii="Trebuchet MS" w:eastAsia="Times New Roman" w:hAnsi="Trebuchet MS"/>
          <w:b/>
          <w:bCs/>
          <w:kern w:val="0"/>
        </w:rPr>
        <w:t>.</w:t>
      </w:r>
    </w:p>
    <w:p w14:paraId="3E6BD14B" w14:textId="77777777" w:rsidR="00641905" w:rsidRDefault="00641905" w:rsidP="00641905">
      <w:pPr>
        <w:spacing w:after="0" w:line="240" w:lineRule="auto"/>
        <w:rPr>
          <w:rFonts w:ascii="Trebuchet MS" w:eastAsia="Times New Roman" w:hAnsi="Trebuchet MS"/>
          <w:kern w:val="0"/>
        </w:rPr>
      </w:pPr>
    </w:p>
    <w:p w14:paraId="4948EE6E" w14:textId="77777777" w:rsidR="00641905" w:rsidRDefault="00641905" w:rsidP="00641905">
      <w:pPr>
        <w:numPr>
          <w:ilvl w:val="1"/>
          <w:numId w:val="1"/>
        </w:numPr>
        <w:spacing w:after="0" w:line="240" w:lineRule="auto"/>
        <w:ind w:left="1440"/>
        <w:rPr>
          <w:rFonts w:ascii="Trebuchet MS" w:eastAsia="Times New Roman" w:hAnsi="Trebuchet MS"/>
          <w:color w:val="154E81"/>
          <w:kern w:val="0"/>
          <w:u w:val="single"/>
        </w:rPr>
      </w:pPr>
      <w:r>
        <w:rPr>
          <w:rFonts w:ascii="Trebuchet MS" w:eastAsia="Times New Roman" w:hAnsi="Trebuchet MS"/>
          <w:color w:val="154E81"/>
          <w:kern w:val="0"/>
          <w:u w:val="single"/>
        </w:rPr>
        <w:t>HORIZON EUROPE</w:t>
      </w:r>
    </w:p>
    <w:p w14:paraId="0DEFD70B" w14:textId="77777777" w:rsidR="00641905" w:rsidRDefault="00641905" w:rsidP="00641905">
      <w:pPr>
        <w:spacing w:after="0" w:line="240" w:lineRule="auto"/>
        <w:ind w:left="1440"/>
        <w:rPr>
          <w:rFonts w:ascii="Trebuchet MS" w:eastAsia="Times New Roman" w:hAnsi="Trebuchet MS"/>
          <w:kern w:val="0"/>
        </w:rPr>
      </w:pPr>
    </w:p>
    <w:p w14:paraId="451975BF"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 xml:space="preserve">Програмата Хоризонт </w:t>
      </w:r>
      <w:proofErr w:type="spellStart"/>
      <w:r>
        <w:rPr>
          <w:rFonts w:ascii="Trebuchet MS" w:eastAsia="Times New Roman" w:hAnsi="Trebuchet MS"/>
          <w:kern w:val="0"/>
        </w:rPr>
        <w:t>Евроопа</w:t>
      </w:r>
      <w:proofErr w:type="spellEnd"/>
      <w:r>
        <w:rPr>
          <w:rFonts w:ascii="Trebuchet MS" w:eastAsia="Times New Roman" w:hAnsi="Trebuchet MS"/>
          <w:kern w:val="0"/>
        </w:rPr>
        <w:t xml:space="preserve"> (</w:t>
      </w:r>
      <w:proofErr w:type="spellStart"/>
      <w:r>
        <w:rPr>
          <w:rFonts w:ascii="Trebuchet MS" w:eastAsia="Times New Roman" w:hAnsi="Trebuchet MS"/>
          <w:kern w:val="0"/>
        </w:rPr>
        <w:t>Horizon</w:t>
      </w:r>
      <w:proofErr w:type="spellEnd"/>
      <w:r>
        <w:rPr>
          <w:rFonts w:ascii="Trebuchet MS" w:eastAsia="Times New Roman" w:hAnsi="Trebuchet MS"/>
          <w:kern w:val="0"/>
        </w:rPr>
        <w:t xml:space="preserve"> </w:t>
      </w:r>
      <w:proofErr w:type="spellStart"/>
      <w:r>
        <w:rPr>
          <w:rFonts w:ascii="Trebuchet MS" w:eastAsia="Times New Roman" w:hAnsi="Trebuchet MS"/>
          <w:kern w:val="0"/>
        </w:rPr>
        <w:t>Europe</w:t>
      </w:r>
      <w:proofErr w:type="spellEnd"/>
      <w:r>
        <w:rPr>
          <w:rFonts w:ascii="Trebuchet MS" w:eastAsia="Times New Roman" w:hAnsi="Trebuchet MS"/>
          <w:kern w:val="0"/>
        </w:rPr>
        <w:t>) представлява основният инструмент на Европейския съюз за финансиране на научни изследвания и иновации за програмния период 2021–2027, с бюджет над 95 млрд. евро. Тя има за цел да подкрепя разработването на нови знания, технологии и иновативни решения, насочени към преодоляване на ключови обществени предизвикателства, включително климатичните промени, здравеопазването, дигитализацията и социалното развитие.</w:t>
      </w:r>
    </w:p>
    <w:p w14:paraId="7CC6F56D"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 xml:space="preserve">Програмата насърчава международното сътрудничество между университети, изследователски организации, бизнес структури и неправителствени организации, като финансира мащабни консорциуми и дългосрочни проекти. За разлика от други програми, насочени към директна работа с общности или предоставяне на услуги, Хоризонт </w:t>
      </w:r>
      <w:proofErr w:type="spellStart"/>
      <w:r>
        <w:rPr>
          <w:rFonts w:ascii="Trebuchet MS" w:eastAsia="Times New Roman" w:hAnsi="Trebuchet MS"/>
          <w:kern w:val="0"/>
        </w:rPr>
        <w:t>Евроопа</w:t>
      </w:r>
      <w:proofErr w:type="spellEnd"/>
      <w:r>
        <w:rPr>
          <w:rFonts w:ascii="Trebuchet MS" w:eastAsia="Times New Roman" w:hAnsi="Trebuchet MS"/>
          <w:kern w:val="0"/>
        </w:rPr>
        <w:t xml:space="preserve"> е фокусирана върху изследователска и иновационна дейност, което предполага по-високи изисквания към капацитета на участващите организации.</w:t>
      </w:r>
    </w:p>
    <w:p w14:paraId="77C25D04"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В рамките на програмата се финансират дейности, свързани с научни изследвания, разработване на иновации, създаване на нови технологии и разработване на политики, основани на данни и анализи. Тези дейности често имат дългосрочен характер и се реализират чрез комплексни проектни структури.</w:t>
      </w:r>
    </w:p>
    <w:p w14:paraId="76775D8F"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Програмата обхваща държавите членки на Европейския съюз, както и асоциирани държави, като участието обикновено се осъществява чрез международни консорциуми с множество партньори. Това изисква изграждане на стабилни партньорства и координация между различни типове организации.</w:t>
      </w:r>
    </w:p>
    <w:p w14:paraId="5C4D2192"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Допустими целеви групи по програмата са университети, изследователски институти, компании и неправителствени организации, като последните обикновено участват в ролята на партньори, особено в проекти със социално въздействие.</w:t>
      </w:r>
    </w:p>
    <w:p w14:paraId="160DCA2A"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Финансирането по програмата „</w:t>
      </w:r>
      <w:proofErr w:type="spellStart"/>
      <w:r>
        <w:rPr>
          <w:rFonts w:ascii="Trebuchet MS" w:eastAsia="Times New Roman" w:hAnsi="Trebuchet MS"/>
          <w:kern w:val="0"/>
        </w:rPr>
        <w:t>Horizon</w:t>
      </w:r>
      <w:proofErr w:type="spellEnd"/>
      <w:r>
        <w:rPr>
          <w:rFonts w:ascii="Trebuchet MS" w:eastAsia="Times New Roman" w:hAnsi="Trebuchet MS"/>
          <w:kern w:val="0"/>
        </w:rPr>
        <w:t xml:space="preserve"> </w:t>
      </w:r>
      <w:proofErr w:type="spellStart"/>
      <w:r>
        <w:rPr>
          <w:rFonts w:ascii="Trebuchet MS" w:eastAsia="Times New Roman" w:hAnsi="Trebuchet MS"/>
          <w:kern w:val="0"/>
        </w:rPr>
        <w:t>Europe</w:t>
      </w:r>
      <w:proofErr w:type="spellEnd"/>
      <w:r>
        <w:rPr>
          <w:rFonts w:ascii="Trebuchet MS" w:eastAsia="Times New Roman" w:hAnsi="Trebuchet MS"/>
          <w:kern w:val="0"/>
        </w:rPr>
        <w:t>“ е значително, като проектите обикновено са с голям бюджет и се характеризират със сложни изисквания за управление, отчетност и изпълнение.</w:t>
      </w:r>
    </w:p>
    <w:p w14:paraId="2A1164DB"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Размерът на финансирането варира в широк диапазон – от приблизително 2–3 милиона евро за по-малки проекти до над 10–15 милиона евро за мащабни изследователски и иновационни консорциуми.</w:t>
      </w:r>
    </w:p>
    <w:p w14:paraId="7856F6DA"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Нивото на финансиране зависи от вида на действието:</w:t>
      </w:r>
    </w:p>
    <w:p w14:paraId="3B490C78" w14:textId="77777777" w:rsidR="00641905" w:rsidRDefault="00641905" w:rsidP="00641905">
      <w:pPr>
        <w:numPr>
          <w:ilvl w:val="0"/>
          <w:numId w:val="4"/>
        </w:numPr>
        <w:spacing w:after="0" w:line="240" w:lineRule="auto"/>
        <w:jc w:val="both"/>
        <w:rPr>
          <w:rFonts w:ascii="Trebuchet MS" w:eastAsia="Times New Roman" w:hAnsi="Trebuchet MS"/>
          <w:kern w:val="0"/>
        </w:rPr>
      </w:pPr>
      <w:r>
        <w:rPr>
          <w:rFonts w:ascii="Trebuchet MS" w:eastAsia="Times New Roman" w:hAnsi="Trebuchet MS"/>
          <w:kern w:val="0"/>
        </w:rPr>
        <w:t>до 100% от допустимите разходи за изследователски и иновационни дейности (</w:t>
      </w:r>
      <w:proofErr w:type="spellStart"/>
      <w:r>
        <w:rPr>
          <w:rFonts w:ascii="Trebuchet MS" w:eastAsia="Times New Roman" w:hAnsi="Trebuchet MS"/>
          <w:kern w:val="0"/>
        </w:rPr>
        <w:t>Research</w:t>
      </w:r>
      <w:proofErr w:type="spellEnd"/>
      <w:r>
        <w:rPr>
          <w:rFonts w:ascii="Trebuchet MS" w:eastAsia="Times New Roman" w:hAnsi="Trebuchet MS"/>
          <w:kern w:val="0"/>
        </w:rPr>
        <w:t xml:space="preserve"> </w:t>
      </w:r>
      <w:proofErr w:type="spellStart"/>
      <w:r>
        <w:rPr>
          <w:rFonts w:ascii="Trebuchet MS" w:eastAsia="Times New Roman" w:hAnsi="Trebuchet MS"/>
          <w:kern w:val="0"/>
        </w:rPr>
        <w:t>and</w:t>
      </w:r>
      <w:proofErr w:type="spellEnd"/>
      <w:r>
        <w:rPr>
          <w:rFonts w:ascii="Trebuchet MS" w:eastAsia="Times New Roman" w:hAnsi="Trebuchet MS"/>
          <w:kern w:val="0"/>
        </w:rPr>
        <w:t xml:space="preserve"> </w:t>
      </w:r>
      <w:proofErr w:type="spellStart"/>
      <w:r>
        <w:rPr>
          <w:rFonts w:ascii="Trebuchet MS" w:eastAsia="Times New Roman" w:hAnsi="Trebuchet MS"/>
          <w:kern w:val="0"/>
        </w:rPr>
        <w:t>Innovation</w:t>
      </w:r>
      <w:proofErr w:type="spellEnd"/>
      <w:r>
        <w:rPr>
          <w:rFonts w:ascii="Trebuchet MS" w:eastAsia="Times New Roman" w:hAnsi="Trebuchet MS"/>
          <w:kern w:val="0"/>
        </w:rPr>
        <w:t xml:space="preserve"> </w:t>
      </w:r>
      <w:proofErr w:type="spellStart"/>
      <w:r>
        <w:rPr>
          <w:rFonts w:ascii="Trebuchet MS" w:eastAsia="Times New Roman" w:hAnsi="Trebuchet MS"/>
          <w:kern w:val="0"/>
        </w:rPr>
        <w:t>Actions</w:t>
      </w:r>
      <w:proofErr w:type="spellEnd"/>
      <w:r>
        <w:rPr>
          <w:rFonts w:ascii="Trebuchet MS" w:eastAsia="Times New Roman" w:hAnsi="Trebuchet MS"/>
          <w:kern w:val="0"/>
        </w:rPr>
        <w:t>);</w:t>
      </w:r>
    </w:p>
    <w:p w14:paraId="7C703A6C" w14:textId="77777777" w:rsidR="00641905" w:rsidRDefault="00641905" w:rsidP="00641905">
      <w:pPr>
        <w:numPr>
          <w:ilvl w:val="0"/>
          <w:numId w:val="4"/>
        </w:numPr>
        <w:spacing w:after="0" w:line="240" w:lineRule="auto"/>
        <w:jc w:val="both"/>
        <w:rPr>
          <w:rFonts w:ascii="Trebuchet MS" w:eastAsia="Times New Roman" w:hAnsi="Trebuchet MS"/>
          <w:kern w:val="0"/>
        </w:rPr>
      </w:pPr>
      <w:r>
        <w:rPr>
          <w:rFonts w:ascii="Trebuchet MS" w:eastAsia="Times New Roman" w:hAnsi="Trebuchet MS"/>
          <w:kern w:val="0"/>
        </w:rPr>
        <w:t>около 70% за иновационни дейности, насочени към пазарна реализация (</w:t>
      </w:r>
      <w:proofErr w:type="spellStart"/>
      <w:r>
        <w:rPr>
          <w:rFonts w:ascii="Trebuchet MS" w:eastAsia="Times New Roman" w:hAnsi="Trebuchet MS"/>
          <w:kern w:val="0"/>
        </w:rPr>
        <w:t>Innovation</w:t>
      </w:r>
      <w:proofErr w:type="spellEnd"/>
      <w:r>
        <w:rPr>
          <w:rFonts w:ascii="Trebuchet MS" w:eastAsia="Times New Roman" w:hAnsi="Trebuchet MS"/>
          <w:kern w:val="0"/>
        </w:rPr>
        <w:t xml:space="preserve"> </w:t>
      </w:r>
      <w:proofErr w:type="spellStart"/>
      <w:r>
        <w:rPr>
          <w:rFonts w:ascii="Trebuchet MS" w:eastAsia="Times New Roman" w:hAnsi="Trebuchet MS"/>
          <w:kern w:val="0"/>
        </w:rPr>
        <w:t>Actions</w:t>
      </w:r>
      <w:proofErr w:type="spellEnd"/>
      <w:r>
        <w:rPr>
          <w:rFonts w:ascii="Trebuchet MS" w:eastAsia="Times New Roman" w:hAnsi="Trebuchet MS"/>
          <w:kern w:val="0"/>
        </w:rPr>
        <w:t>), като за нестопански организации финансирането може да достигне до 100%.</w:t>
      </w:r>
    </w:p>
    <w:p w14:paraId="787E3179"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Към финансирането се добавя и фиксирана ставка от 25% за непреки разходи (</w:t>
      </w:r>
      <w:proofErr w:type="spellStart"/>
      <w:r>
        <w:rPr>
          <w:rFonts w:ascii="Trebuchet MS" w:eastAsia="Times New Roman" w:hAnsi="Trebuchet MS"/>
          <w:kern w:val="0"/>
        </w:rPr>
        <w:t>overheads</w:t>
      </w:r>
      <w:proofErr w:type="spellEnd"/>
      <w:r>
        <w:rPr>
          <w:rFonts w:ascii="Trebuchet MS" w:eastAsia="Times New Roman" w:hAnsi="Trebuchet MS"/>
          <w:kern w:val="0"/>
        </w:rPr>
        <w:t>), което допълнително увеличава общия бюджет на проекта.</w:t>
      </w:r>
    </w:p>
    <w:p w14:paraId="1C3CF30F"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lastRenderedPageBreak/>
        <w:t>Типични дейности, които могат да бъдат реализирани в рамките на програмата, включват научни изследвания, анализи, разработване на политики и социални иновации, насочени към решаване на конкретни обществени проблеми.</w:t>
      </w:r>
    </w:p>
    <w:p w14:paraId="694542EA"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 xml:space="preserve">Проектните предложения се подават чрез EU </w:t>
      </w:r>
      <w:proofErr w:type="spellStart"/>
      <w:r>
        <w:rPr>
          <w:rFonts w:ascii="Trebuchet MS" w:eastAsia="Times New Roman" w:hAnsi="Trebuchet MS"/>
          <w:kern w:val="0"/>
        </w:rPr>
        <w:t>Funding</w:t>
      </w:r>
      <w:proofErr w:type="spellEnd"/>
      <w:r>
        <w:rPr>
          <w:rFonts w:ascii="Trebuchet MS" w:eastAsia="Times New Roman" w:hAnsi="Trebuchet MS"/>
          <w:kern w:val="0"/>
        </w:rPr>
        <w:t xml:space="preserve"> &amp; </w:t>
      </w:r>
      <w:proofErr w:type="spellStart"/>
      <w:r>
        <w:rPr>
          <w:rFonts w:ascii="Trebuchet MS" w:eastAsia="Times New Roman" w:hAnsi="Trebuchet MS"/>
          <w:kern w:val="0"/>
        </w:rPr>
        <w:t>Tenders</w:t>
      </w:r>
      <w:proofErr w:type="spellEnd"/>
      <w:r>
        <w:rPr>
          <w:rFonts w:ascii="Trebuchet MS" w:eastAsia="Times New Roman" w:hAnsi="Trebuchet MS"/>
          <w:kern w:val="0"/>
        </w:rPr>
        <w:t xml:space="preserve"> </w:t>
      </w:r>
      <w:proofErr w:type="spellStart"/>
      <w:r>
        <w:rPr>
          <w:rFonts w:ascii="Trebuchet MS" w:eastAsia="Times New Roman" w:hAnsi="Trebuchet MS"/>
          <w:kern w:val="0"/>
        </w:rPr>
        <w:t>Portal</w:t>
      </w:r>
      <w:proofErr w:type="spellEnd"/>
      <w:r>
        <w:rPr>
          <w:rFonts w:ascii="Trebuchet MS" w:eastAsia="Times New Roman" w:hAnsi="Trebuchet MS"/>
          <w:kern w:val="0"/>
        </w:rPr>
        <w:t xml:space="preserve">, който представлява основната платформа за централизирано кандидатстване по програмите на Европейския съюз. </w:t>
      </w:r>
    </w:p>
    <w:p w14:paraId="2124FB41" w14:textId="77777777" w:rsidR="00641905" w:rsidRDefault="00641905" w:rsidP="00641905">
      <w:pPr>
        <w:spacing w:after="0" w:line="240" w:lineRule="auto"/>
        <w:jc w:val="both"/>
        <w:rPr>
          <w:rFonts w:ascii="Trebuchet MS" w:eastAsia="Times New Roman" w:hAnsi="Trebuchet MS"/>
          <w:kern w:val="0"/>
        </w:rPr>
      </w:pPr>
    </w:p>
    <w:p w14:paraId="22C7A3D6" w14:textId="77777777" w:rsidR="00641905" w:rsidRDefault="00641905" w:rsidP="00641905">
      <w:pPr>
        <w:spacing w:after="0" w:line="240" w:lineRule="auto"/>
        <w:jc w:val="both"/>
        <w:rPr>
          <w:rFonts w:ascii="Trebuchet MS" w:eastAsia="Times New Roman" w:hAnsi="Trebuchet MS"/>
          <w:kern w:val="0"/>
        </w:rPr>
      </w:pPr>
      <w:r>
        <w:rPr>
          <w:rFonts w:ascii="Trebuchet MS" w:eastAsia="Times New Roman" w:hAnsi="Trebuchet MS"/>
          <w:kern w:val="0"/>
        </w:rPr>
        <w:t>Подробните условия за участие са публикувани в официалните документи на програмата.</w:t>
      </w:r>
    </w:p>
    <w:p w14:paraId="5FE51D8F" w14:textId="77777777" w:rsidR="00641905" w:rsidRDefault="00641905" w:rsidP="00641905">
      <w:pPr>
        <w:spacing w:after="0" w:line="240" w:lineRule="auto"/>
        <w:jc w:val="both"/>
        <w:rPr>
          <w:rFonts w:ascii="Trebuchet MS" w:eastAsia="Times New Roman" w:hAnsi="Trebuchet MS"/>
          <w:kern w:val="0"/>
        </w:rPr>
      </w:pPr>
    </w:p>
    <w:p w14:paraId="73ABE876" w14:textId="77777777" w:rsidR="00641905" w:rsidRDefault="00641905" w:rsidP="00641905">
      <w:pPr>
        <w:spacing w:after="0" w:line="240" w:lineRule="auto"/>
        <w:rPr>
          <w:rFonts w:ascii="Trebuchet MS" w:eastAsia="Times New Roman" w:hAnsi="Trebuchet MS"/>
          <w:kern w:val="0"/>
        </w:rPr>
      </w:pPr>
      <w:hyperlink r:id="rId19" w:history="1">
        <w:r>
          <w:rPr>
            <w:rStyle w:val="ae"/>
            <w:rFonts w:ascii="Trebuchet MS" w:eastAsia="Times New Roman" w:hAnsi="Trebuchet MS"/>
            <w:kern w:val="0"/>
          </w:rPr>
          <w:t>https://ec.europa.eu/info/funding-tenders/opportunities/portal/screen/home</w:t>
        </w:r>
      </w:hyperlink>
    </w:p>
    <w:p w14:paraId="2501FE31" w14:textId="77777777" w:rsidR="00641905" w:rsidRDefault="00641905" w:rsidP="00641905">
      <w:pPr>
        <w:spacing w:after="0" w:line="240" w:lineRule="auto"/>
        <w:rPr>
          <w:rFonts w:ascii="Trebuchet MS" w:eastAsia="Times New Roman" w:hAnsi="Trebuchet MS"/>
          <w:kern w:val="0"/>
        </w:rPr>
      </w:pPr>
    </w:p>
    <w:p w14:paraId="58815313" w14:textId="77777777" w:rsidR="00641905" w:rsidRDefault="00641905" w:rsidP="00641905">
      <w:pPr>
        <w:spacing w:after="0" w:line="240" w:lineRule="auto"/>
        <w:rPr>
          <w:rFonts w:ascii="Trebuchet MS" w:eastAsia="Times New Roman" w:hAnsi="Trebuchet MS"/>
          <w:kern w:val="0"/>
        </w:rPr>
      </w:pPr>
      <w:hyperlink r:id="rId20" w:history="1">
        <w:r>
          <w:rPr>
            <w:rStyle w:val="ae"/>
            <w:rFonts w:ascii="Trebuchet MS" w:eastAsia="Times New Roman" w:hAnsi="Trebuchet MS"/>
            <w:kern w:val="0"/>
          </w:rPr>
          <w:t>https://research-and-innovation.ec.europa.eu/funding/funding-opportunities/funding-programmes-and-open-calls/horizon-europe_en</w:t>
        </w:r>
      </w:hyperlink>
      <w:r>
        <w:rPr>
          <w:rFonts w:ascii="Trebuchet MS" w:eastAsia="Times New Roman" w:hAnsi="Trebuchet MS"/>
          <w:kern w:val="0"/>
        </w:rPr>
        <w:t xml:space="preserve"> </w:t>
      </w:r>
    </w:p>
    <w:p w14:paraId="745CDF5C" w14:textId="77777777" w:rsidR="00641905" w:rsidRDefault="00641905" w:rsidP="00641905">
      <w:pPr>
        <w:spacing w:after="0" w:line="240" w:lineRule="auto"/>
        <w:rPr>
          <w:rFonts w:ascii="Trebuchet MS" w:eastAsia="Times New Roman" w:hAnsi="Trebuchet MS"/>
          <w:kern w:val="0"/>
        </w:rPr>
      </w:pPr>
    </w:p>
    <w:p w14:paraId="29F1B5FF" w14:textId="77777777" w:rsidR="00641905" w:rsidRDefault="00641905" w:rsidP="00641905">
      <w:pPr>
        <w:spacing w:after="0" w:line="240" w:lineRule="auto"/>
        <w:rPr>
          <w:rFonts w:ascii="Trebuchet MS" w:eastAsia="Times New Roman" w:hAnsi="Trebuchet MS"/>
          <w:kern w:val="0"/>
        </w:rPr>
      </w:pPr>
      <w:r>
        <w:rPr>
          <w:rFonts w:ascii="Trebuchet MS" w:eastAsia="Times New Roman" w:hAnsi="Trebuchet MS"/>
          <w:kern w:val="0"/>
        </w:rPr>
        <w:t>Програмата намира приложение в случаи, когато организацията участва в мащабни международни проекти с изследователски или иновационен характер и разполага с необходимия капацитет за работа в сложна партньорска и проектна среда.</w:t>
      </w:r>
    </w:p>
    <w:p w14:paraId="38DFCEEE" w14:textId="77777777" w:rsidR="00641905" w:rsidRDefault="00641905" w:rsidP="00641905">
      <w:pPr>
        <w:spacing w:after="0" w:line="240" w:lineRule="auto"/>
        <w:rPr>
          <w:rFonts w:ascii="Trebuchet MS" w:eastAsia="Times New Roman" w:hAnsi="Trebuchet MS"/>
          <w:kern w:val="0"/>
        </w:rPr>
      </w:pPr>
    </w:p>
    <w:p w14:paraId="7D124B63" w14:textId="77777777" w:rsidR="00641905" w:rsidRDefault="00641905" w:rsidP="00641905">
      <w:pPr>
        <w:spacing w:after="0" w:line="240" w:lineRule="auto"/>
        <w:rPr>
          <w:rFonts w:ascii="Trebuchet MS" w:eastAsia="Times New Roman" w:hAnsi="Trebuchet MS"/>
          <w:kern w:val="0"/>
        </w:rPr>
      </w:pPr>
    </w:p>
    <w:p w14:paraId="41E30761" w14:textId="77777777" w:rsidR="00641905" w:rsidRDefault="00641905" w:rsidP="00641905">
      <w:pPr>
        <w:numPr>
          <w:ilvl w:val="1"/>
          <w:numId w:val="1"/>
        </w:numPr>
        <w:shd w:val="clear" w:color="auto" w:fill="FFFFFF"/>
        <w:spacing w:after="0" w:line="240" w:lineRule="auto"/>
        <w:ind w:left="1440"/>
        <w:jc w:val="both"/>
        <w:rPr>
          <w:rFonts w:ascii="Trebuchet MS" w:eastAsia="Times New Roman" w:hAnsi="Trebuchet MS"/>
          <w:bCs/>
          <w:iCs/>
          <w:color w:val="154E81"/>
          <w:spacing w:val="-2"/>
          <w:kern w:val="0"/>
          <w:u w:val="single"/>
          <w:shd w:val="clear" w:color="auto" w:fill="FFFFFF"/>
        </w:rPr>
      </w:pPr>
      <w:r>
        <w:rPr>
          <w:rFonts w:ascii="Trebuchet MS" w:eastAsia="Times New Roman" w:hAnsi="Trebuchet MS"/>
          <w:bCs/>
          <w:iCs/>
          <w:color w:val="154E81"/>
          <w:spacing w:val="-2"/>
          <w:kern w:val="0"/>
          <w:u w:val="single"/>
          <w:shd w:val="clear" w:color="auto" w:fill="FFFFFF"/>
        </w:rPr>
        <w:t>СРАВНЕНИЕ МЕЖДУ ГОРЕ ОПИСАНИТЕ ПРОГРАМИ</w:t>
      </w:r>
    </w:p>
    <w:p w14:paraId="3D9EFC2A" w14:textId="77777777" w:rsidR="00641905" w:rsidRDefault="00641905" w:rsidP="00641905">
      <w:pPr>
        <w:shd w:val="clear" w:color="auto" w:fill="FFFFFF"/>
        <w:spacing w:after="0" w:line="240" w:lineRule="auto"/>
        <w:ind w:left="1440"/>
        <w:jc w:val="both"/>
        <w:rPr>
          <w:rFonts w:ascii="Trebuchet MS" w:eastAsia="Times New Roman" w:hAnsi="Trebuchet MS"/>
          <w:bCs/>
          <w:iCs/>
          <w:color w:val="1B4D7F"/>
          <w:spacing w:val="-2"/>
          <w:kern w:val="0"/>
          <w:shd w:val="clear" w:color="auto" w:fill="FFFFFF"/>
        </w:rPr>
      </w:pPr>
    </w:p>
    <w:p w14:paraId="173CAEA1"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Изборът на подходяща програма за финансиране представлява ключов етап при подготовката на проектно предложение. Наличието на добра проектна идея не е достатъчно условие за успех, ако тя не е съобразена със специфичните цели и изисквания на съответния финансов инструмент. В практиката често се наблюдава подаване на качествени идеи по неподходящи програми, което води до тяхното отхвърляне.</w:t>
      </w:r>
    </w:p>
    <w:p w14:paraId="0E040206"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Подборът на програма следва да се основава на няколко основни фактора, сред които се открояват типът дейност, целевата група, географският обхват и организационният капацитет. В зависимост от тези характеристики различните програми на Европейския съюз предоставят различни възможности за финансиране.</w:t>
      </w:r>
    </w:p>
    <w:p w14:paraId="4ACE681C"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Програми като </w:t>
      </w:r>
      <w:proofErr w:type="spellStart"/>
      <w:r>
        <w:rPr>
          <w:rFonts w:ascii="Trebuchet MS" w:eastAsia="Times New Roman" w:hAnsi="Trebuchet MS"/>
          <w:bCs/>
          <w:iCs/>
          <w:spacing w:val="-2"/>
          <w:kern w:val="0"/>
          <w:shd w:val="clear" w:color="auto" w:fill="FFFFFF"/>
        </w:rPr>
        <w:t>Erasmus</w:t>
      </w:r>
      <w:proofErr w:type="spellEnd"/>
      <w:r>
        <w:rPr>
          <w:rFonts w:ascii="Trebuchet MS" w:eastAsia="Times New Roman" w:hAnsi="Trebuchet MS"/>
          <w:bCs/>
          <w:iCs/>
          <w:spacing w:val="-2"/>
          <w:kern w:val="0"/>
          <w:shd w:val="clear" w:color="auto" w:fill="FFFFFF"/>
        </w:rPr>
        <w:t>+ са насочени основно към дейности, свързани с учене, развитие на умения и обмен на опит, включително младежки обмени, неформално образование и обучения. Те са подходящи за организации, които се стремят да изграждат капацитет и да развиват международни партньорства, без да предоставят директни социални услуги.</w:t>
      </w:r>
    </w:p>
    <w:p w14:paraId="6B7CE265"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roofErr w:type="spellStart"/>
      <w:r>
        <w:rPr>
          <w:rFonts w:ascii="Trebuchet MS" w:eastAsia="Times New Roman" w:hAnsi="Trebuchet MS"/>
          <w:bCs/>
          <w:iCs/>
          <w:spacing w:val="-2"/>
          <w:kern w:val="0"/>
          <w:shd w:val="clear" w:color="auto" w:fill="FFFFFF"/>
        </w:rPr>
        <w:t>European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Solidarity</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Corps</w:t>
      </w:r>
      <w:proofErr w:type="spellEnd"/>
      <w:r>
        <w:rPr>
          <w:rFonts w:ascii="Trebuchet MS" w:eastAsia="Times New Roman" w:hAnsi="Trebuchet MS"/>
          <w:bCs/>
          <w:iCs/>
          <w:spacing w:val="-2"/>
          <w:kern w:val="0"/>
          <w:shd w:val="clear" w:color="auto" w:fill="FFFFFF"/>
        </w:rPr>
        <w:t xml:space="preserve"> е ориентирана към доброволчество и солидарни инициативи, като позволява пряка работа с общности и уязвими групи. Тя предоставя възможности за реализиране на дейности с практическа насоченост и участие на млади хора в решаването на обществени проблеми.</w:t>
      </w:r>
    </w:p>
    <w:p w14:paraId="31062FEF"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Програмата </w:t>
      </w:r>
      <w:proofErr w:type="spellStart"/>
      <w:r>
        <w:rPr>
          <w:rFonts w:ascii="Trebuchet MS" w:eastAsia="Times New Roman" w:hAnsi="Trebuchet MS"/>
          <w:bCs/>
          <w:iCs/>
          <w:spacing w:val="-2"/>
          <w:kern w:val="0"/>
          <w:shd w:val="clear" w:color="auto" w:fill="FFFFFF"/>
        </w:rPr>
        <w:t>Interreg</w:t>
      </w:r>
      <w:proofErr w:type="spellEnd"/>
      <w:r>
        <w:rPr>
          <w:rFonts w:ascii="Trebuchet MS" w:eastAsia="Times New Roman" w:hAnsi="Trebuchet MS"/>
          <w:bCs/>
          <w:iCs/>
          <w:spacing w:val="-2"/>
          <w:kern w:val="0"/>
          <w:shd w:val="clear" w:color="auto" w:fill="FFFFFF"/>
        </w:rPr>
        <w:t xml:space="preserve"> VI-A </w:t>
      </w:r>
      <w:proofErr w:type="spellStart"/>
      <w:r>
        <w:rPr>
          <w:rFonts w:ascii="Trebuchet MS" w:eastAsia="Times New Roman" w:hAnsi="Trebuchet MS"/>
          <w:bCs/>
          <w:iCs/>
          <w:spacing w:val="-2"/>
          <w:kern w:val="0"/>
          <w:shd w:val="clear" w:color="auto" w:fill="FFFFFF"/>
        </w:rPr>
        <w:t>Romania</w:t>
      </w:r>
      <w:proofErr w:type="spellEnd"/>
      <w:r>
        <w:rPr>
          <w:rFonts w:ascii="Trebuchet MS" w:eastAsia="Times New Roman" w:hAnsi="Trebuchet MS"/>
          <w:bCs/>
          <w:iCs/>
          <w:spacing w:val="-2"/>
          <w:kern w:val="0"/>
          <w:shd w:val="clear" w:color="auto" w:fill="FFFFFF"/>
        </w:rPr>
        <w:t>–</w:t>
      </w:r>
      <w:proofErr w:type="spellStart"/>
      <w:r>
        <w:rPr>
          <w:rFonts w:ascii="Trebuchet MS" w:eastAsia="Times New Roman" w:hAnsi="Trebuchet MS"/>
          <w:bCs/>
          <w:iCs/>
          <w:spacing w:val="-2"/>
          <w:kern w:val="0"/>
          <w:shd w:val="clear" w:color="auto" w:fill="FFFFFF"/>
        </w:rPr>
        <w:t>Bulgaria</w:t>
      </w:r>
      <w:proofErr w:type="spellEnd"/>
      <w:r>
        <w:rPr>
          <w:rFonts w:ascii="Trebuchet MS" w:eastAsia="Times New Roman" w:hAnsi="Trebuchet MS"/>
          <w:bCs/>
          <w:iCs/>
          <w:spacing w:val="-2"/>
          <w:kern w:val="0"/>
          <w:shd w:val="clear" w:color="auto" w:fill="FFFFFF"/>
        </w:rPr>
        <w:t xml:space="preserve"> е приложима в случаи, когато проектната идея има трансграничен характер и изисква сътрудничество между организации от България и Румъния. Тя е особено подходяща за инициативи, насочени към решаване на общи проблеми в области като образование, социално включване, култура и местно развитие.</w:t>
      </w:r>
    </w:p>
    <w:p w14:paraId="5569A563"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Европейският социален фонд плюс (ESF+) е насочен към предоставяне на реални социални услуги и дългосрочна работа с уязвими групи. Той финансира дейности, </w:t>
      </w:r>
      <w:r>
        <w:rPr>
          <w:rFonts w:ascii="Trebuchet MS" w:eastAsia="Times New Roman" w:hAnsi="Trebuchet MS"/>
          <w:bCs/>
          <w:iCs/>
          <w:spacing w:val="-2"/>
          <w:kern w:val="0"/>
          <w:shd w:val="clear" w:color="auto" w:fill="FFFFFF"/>
        </w:rPr>
        <w:lastRenderedPageBreak/>
        <w:t>свързани със заетост, образование, социално включване и намаляване на бедността, което го прави ключов инструмент за организации с устойчиво присъствие в общността.</w:t>
      </w:r>
    </w:p>
    <w:p w14:paraId="50FA9E55"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Програмата CERV е фокусирана върху демократичните ценности, правата на човека и гражданското участие. Тя е подходяща за инициативи, насочени към равенство, недискриминация, междукултурен диалог и обществено въздействие, без да финансира директни социални услуги.</w:t>
      </w:r>
    </w:p>
    <w:p w14:paraId="3998F4C7"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LIFE </w:t>
      </w:r>
      <w:proofErr w:type="spellStart"/>
      <w:r>
        <w:rPr>
          <w:rFonts w:ascii="Trebuchet MS" w:eastAsia="Times New Roman" w:hAnsi="Trebuchet MS"/>
          <w:bCs/>
          <w:iCs/>
          <w:spacing w:val="-2"/>
          <w:kern w:val="0"/>
          <w:shd w:val="clear" w:color="auto" w:fill="FFFFFF"/>
        </w:rPr>
        <w:t>Programme</w:t>
      </w:r>
      <w:proofErr w:type="spellEnd"/>
      <w:r>
        <w:rPr>
          <w:rFonts w:ascii="Trebuchet MS" w:eastAsia="Times New Roman" w:hAnsi="Trebuchet MS"/>
          <w:bCs/>
          <w:iCs/>
          <w:spacing w:val="-2"/>
          <w:kern w:val="0"/>
          <w:shd w:val="clear" w:color="auto" w:fill="FFFFFF"/>
        </w:rPr>
        <w:t xml:space="preserve"> предоставя възможности за финансиране на проекти, свързани с опазване на околната среда, климатични действия и устойчиво развитие. Тя е насочена към екологични интервенции и работа с общности в контекста на устойчив начин на живот.</w:t>
      </w:r>
    </w:p>
    <w:p w14:paraId="3BF33E3A"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roofErr w:type="spellStart"/>
      <w:r>
        <w:rPr>
          <w:rFonts w:ascii="Trebuchet MS" w:eastAsia="Times New Roman" w:hAnsi="Trebuchet MS"/>
          <w:bCs/>
          <w:iCs/>
          <w:spacing w:val="-2"/>
          <w:kern w:val="0"/>
          <w:shd w:val="clear" w:color="auto" w:fill="FFFFFF"/>
        </w:rPr>
        <w:t>Creative</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Europe</w:t>
      </w:r>
      <w:proofErr w:type="spellEnd"/>
      <w:r>
        <w:rPr>
          <w:rFonts w:ascii="Trebuchet MS" w:eastAsia="Times New Roman" w:hAnsi="Trebuchet MS"/>
          <w:bCs/>
          <w:iCs/>
          <w:spacing w:val="-2"/>
          <w:kern w:val="0"/>
          <w:shd w:val="clear" w:color="auto" w:fill="FFFFFF"/>
        </w:rPr>
        <w:t xml:space="preserve"> е насочена към културния и творческия сектор и подкрепя културни инициативи, артистични проекти и международно сътрудничество в областта на културното наследство и творческите индустрии.</w:t>
      </w:r>
    </w:p>
    <w:p w14:paraId="7DA6F8EE"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lang w:val="en-US"/>
        </w:rPr>
      </w:pPr>
      <w:proofErr w:type="spellStart"/>
      <w:r>
        <w:rPr>
          <w:rFonts w:ascii="Trebuchet MS" w:eastAsia="Times New Roman" w:hAnsi="Trebuchet MS"/>
          <w:bCs/>
          <w:iCs/>
          <w:spacing w:val="-2"/>
          <w:kern w:val="0"/>
          <w:shd w:val="clear" w:color="auto" w:fill="FFFFFF"/>
        </w:rPr>
        <w:t>Horizon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Europe</w:t>
      </w:r>
      <w:proofErr w:type="spellEnd"/>
      <w:r>
        <w:rPr>
          <w:rFonts w:ascii="Trebuchet MS" w:eastAsia="Times New Roman" w:hAnsi="Trebuchet MS"/>
          <w:bCs/>
          <w:iCs/>
          <w:spacing w:val="-2"/>
          <w:kern w:val="0"/>
          <w:shd w:val="clear" w:color="auto" w:fill="FFFFFF"/>
        </w:rPr>
        <w:t xml:space="preserve"> представлява инструмент за финансиране на научни изследвания и иновации и е насочена към мащабни международни консорциуми. Участието на неправителствени организации обикновено е в партньорска роля, особено в проекти със социално въздействие.</w:t>
      </w:r>
    </w:p>
    <w:p w14:paraId="09A8B5B4"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lang w:val="en-US"/>
        </w:rPr>
      </w:pPr>
    </w:p>
    <w:p w14:paraId="284F7BF4" w14:textId="77777777" w:rsidR="00641905" w:rsidRDefault="00641905" w:rsidP="00641905">
      <w:pPr>
        <w:rPr>
          <w:b/>
          <w:bCs/>
        </w:rPr>
      </w:pPr>
      <w:r>
        <w:rPr>
          <w:b/>
          <w:bCs/>
        </w:rPr>
        <w:t>СРАВНЕНИЕ НА ОСНОВНИ ПРОГРАМИ ЗА ФИНАНСИРАНЕ ОТ ЕС</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1863"/>
        <w:gridCol w:w="1129"/>
        <w:gridCol w:w="1651"/>
        <w:gridCol w:w="1341"/>
        <w:gridCol w:w="1864"/>
      </w:tblGrid>
      <w:tr w:rsidR="00641905" w14:paraId="47DEB029"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531703"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jc w:val="center"/>
              <w:rPr>
                <w:rFonts w:ascii="Trebuchet MS" w:eastAsia="Times New Roman" w:hAnsi="Trebuchet MS"/>
                <w:b/>
                <w:bCs/>
                <w:kern w:val="0"/>
              </w:rPr>
            </w:pPr>
            <w:r>
              <w:rPr>
                <w:rFonts w:ascii="Trebuchet MS" w:eastAsia="Times New Roman" w:hAnsi="Trebuchet MS"/>
                <w:b/>
                <w:bCs/>
                <w:kern w:val="0"/>
              </w:rPr>
              <w:t>Програма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A6799F"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jc w:val="center"/>
              <w:rPr>
                <w:rFonts w:ascii="Trebuchet MS" w:eastAsia="Times New Roman" w:hAnsi="Trebuchet MS"/>
                <w:b/>
                <w:bCs/>
                <w:kern w:val="0"/>
              </w:rPr>
            </w:pPr>
            <w:r>
              <w:rPr>
                <w:rFonts w:ascii="Trebuchet MS" w:eastAsia="Times New Roman" w:hAnsi="Trebuchet MS"/>
                <w:b/>
                <w:bCs/>
                <w:kern w:val="0"/>
              </w:rPr>
              <w:t>Тип проекти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94B70F"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jc w:val="center"/>
              <w:rPr>
                <w:rFonts w:ascii="Trebuchet MS" w:eastAsia="Times New Roman" w:hAnsi="Trebuchet MS"/>
                <w:b/>
                <w:bCs/>
                <w:kern w:val="0"/>
              </w:rPr>
            </w:pPr>
            <w:r>
              <w:rPr>
                <w:rFonts w:ascii="Trebuchet MS" w:eastAsia="Times New Roman" w:hAnsi="Trebuchet MS"/>
                <w:b/>
                <w:bCs/>
                <w:kern w:val="0"/>
              </w:rPr>
              <w:t>Размер на бюджета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3F7C4F"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jc w:val="center"/>
              <w:rPr>
                <w:rFonts w:ascii="Trebuchet MS" w:eastAsia="Times New Roman" w:hAnsi="Trebuchet MS"/>
                <w:b/>
                <w:bCs/>
                <w:kern w:val="0"/>
              </w:rPr>
            </w:pPr>
            <w:r>
              <w:rPr>
                <w:rFonts w:ascii="Trebuchet MS" w:eastAsia="Times New Roman" w:hAnsi="Trebuchet MS"/>
                <w:b/>
                <w:bCs/>
                <w:kern w:val="0"/>
              </w:rPr>
              <w:t>Ниво на финансиране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90D5F1"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jc w:val="center"/>
              <w:rPr>
                <w:rFonts w:ascii="Trebuchet MS" w:eastAsia="Times New Roman" w:hAnsi="Trebuchet MS"/>
                <w:b/>
                <w:bCs/>
                <w:kern w:val="0"/>
              </w:rPr>
            </w:pPr>
            <w:r>
              <w:rPr>
                <w:rFonts w:ascii="Trebuchet MS" w:eastAsia="Times New Roman" w:hAnsi="Trebuchet MS"/>
                <w:b/>
                <w:bCs/>
                <w:kern w:val="0"/>
              </w:rPr>
              <w:t>Собствено участие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6C3FF8"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jc w:val="center"/>
              <w:rPr>
                <w:rFonts w:ascii="Trebuchet MS" w:eastAsia="Times New Roman" w:hAnsi="Trebuchet MS"/>
                <w:b/>
                <w:bCs/>
                <w:kern w:val="0"/>
              </w:rPr>
            </w:pPr>
            <w:r>
              <w:rPr>
                <w:rFonts w:ascii="Trebuchet MS" w:eastAsia="Times New Roman" w:hAnsi="Trebuchet MS"/>
                <w:b/>
                <w:bCs/>
                <w:kern w:val="0"/>
              </w:rPr>
              <w:t>Особености</w:t>
            </w:r>
          </w:p>
        </w:tc>
      </w:tr>
      <w:tr w:rsidR="00641905" w14:paraId="74AC9185"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18EF09"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CERV</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96F373"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социални, граждански инициативи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06720D"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~50 000 – 500 000 €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520615"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90% – 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C037AA"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0% – 10%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242BAE"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 xml:space="preserve">често без собствено финансиране, </w:t>
            </w:r>
            <w:proofErr w:type="spellStart"/>
            <w:r>
              <w:rPr>
                <w:rFonts w:ascii="Trebuchet MS" w:eastAsia="Times New Roman" w:hAnsi="Trebuchet MS"/>
                <w:kern w:val="0"/>
              </w:rPr>
              <w:t>lump</w:t>
            </w:r>
            <w:proofErr w:type="spellEnd"/>
            <w:r>
              <w:rPr>
                <w:rFonts w:ascii="Trebuchet MS" w:eastAsia="Times New Roman" w:hAnsi="Trebuchet MS"/>
                <w:kern w:val="0"/>
              </w:rPr>
              <w:t xml:space="preserve"> </w:t>
            </w:r>
            <w:proofErr w:type="spellStart"/>
            <w:r>
              <w:rPr>
                <w:rFonts w:ascii="Trebuchet MS" w:eastAsia="Times New Roman" w:hAnsi="Trebuchet MS"/>
                <w:kern w:val="0"/>
              </w:rPr>
              <w:t>sums</w:t>
            </w:r>
            <w:proofErr w:type="spellEnd"/>
          </w:p>
        </w:tc>
      </w:tr>
      <w:tr w:rsidR="00641905" w14:paraId="58F6F217"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578DF6"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proofErr w:type="spellStart"/>
            <w:r>
              <w:rPr>
                <w:rFonts w:ascii="Trebuchet MS" w:eastAsia="Times New Roman" w:hAnsi="Trebuchet MS"/>
                <w:kern w:val="0"/>
              </w:rPr>
              <w:t>Erasmus</w:t>
            </w:r>
            <w:proofErr w:type="spellEnd"/>
            <w:r>
              <w:rPr>
                <w:rFonts w:ascii="Trebuchet MS" w:eastAsia="Times New Roman" w:hAnsi="Trebuchet MS"/>
                <w:kern w:val="0"/>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EDC68D"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образование, младеж, обучения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E6BAD5"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~30 000 – 400 000 €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9A4C47"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до 100% (фиксирани бюджети)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6D23E6"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минимално</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06FBCE"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опростени бюджети, единични разходи</w:t>
            </w:r>
          </w:p>
        </w:tc>
      </w:tr>
      <w:tr w:rsidR="00641905" w14:paraId="24B275E9"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B2378C"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proofErr w:type="spellStart"/>
            <w:r>
              <w:rPr>
                <w:rFonts w:ascii="Trebuchet MS" w:eastAsia="Times New Roman" w:hAnsi="Trebuchet MS"/>
                <w:kern w:val="0"/>
              </w:rPr>
              <w:t>Creative</w:t>
            </w:r>
            <w:proofErr w:type="spellEnd"/>
            <w:r>
              <w:rPr>
                <w:rFonts w:ascii="Trebuchet MS" w:eastAsia="Times New Roman" w:hAnsi="Trebuchet MS"/>
                <w:kern w:val="0"/>
              </w:rPr>
              <w:t xml:space="preserve"> </w:t>
            </w:r>
            <w:proofErr w:type="spellStart"/>
            <w:r>
              <w:rPr>
                <w:rFonts w:ascii="Trebuchet MS" w:eastAsia="Times New Roman" w:hAnsi="Trebuchet MS"/>
                <w:kern w:val="0"/>
              </w:rPr>
              <w:t>Europe</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09AB83"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култура, творчество</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05762A"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~200 000 – 1 000 000+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92FE3A"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60% – 80%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2FD029"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20% – 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518D9D"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задължително съфинансиране</w:t>
            </w:r>
          </w:p>
        </w:tc>
      </w:tr>
      <w:tr w:rsidR="00641905" w14:paraId="169BD944"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62361F"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proofErr w:type="spellStart"/>
            <w:r>
              <w:rPr>
                <w:rFonts w:ascii="Trebuchet MS" w:eastAsia="Times New Roman" w:hAnsi="Trebuchet MS"/>
                <w:kern w:val="0"/>
              </w:rPr>
              <w:t>Interreg</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C3323A"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трансгранично сътрудничество</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6ADBB9"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~500 000 – 2 000 000+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7C1D67"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80% – 90%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80C00D"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10% – 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547F12"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изисква партньори от различни държави</w:t>
            </w:r>
          </w:p>
        </w:tc>
      </w:tr>
      <w:tr w:rsidR="00641905" w14:paraId="63FD265E" w14:textId="7777777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EAC5C4"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proofErr w:type="spellStart"/>
            <w:r>
              <w:rPr>
                <w:rFonts w:ascii="Trebuchet MS" w:eastAsia="Times New Roman" w:hAnsi="Trebuchet MS"/>
                <w:kern w:val="0"/>
              </w:rPr>
              <w:t>Horizon</w:t>
            </w:r>
            <w:proofErr w:type="spellEnd"/>
            <w:r>
              <w:rPr>
                <w:rFonts w:ascii="Trebuchet MS" w:eastAsia="Times New Roman" w:hAnsi="Trebuchet MS"/>
                <w:kern w:val="0"/>
              </w:rPr>
              <w:t xml:space="preserve"> </w:t>
            </w:r>
            <w:proofErr w:type="spellStart"/>
            <w:r>
              <w:rPr>
                <w:rFonts w:ascii="Trebuchet MS" w:eastAsia="Times New Roman" w:hAnsi="Trebuchet MS"/>
                <w:kern w:val="0"/>
              </w:rPr>
              <w:t>Europe</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B1D5A9"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иновации, научни проекти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5E65C7"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~2 млн. – 15+ млн.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732B4D"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70% – 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512906"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0% – 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9FB55B" w14:textId="77777777" w:rsidR="00641905" w:rsidRDefault="00641905">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rebuchet MS" w:eastAsia="Times New Roman" w:hAnsi="Trebuchet MS"/>
                <w:kern w:val="0"/>
              </w:rPr>
            </w:pPr>
            <w:r>
              <w:rPr>
                <w:rFonts w:ascii="Trebuchet MS" w:eastAsia="Times New Roman" w:hAnsi="Trebuchet MS"/>
                <w:kern w:val="0"/>
              </w:rPr>
              <w:t>много сложни проекти, големи консорциуми</w:t>
            </w:r>
          </w:p>
        </w:tc>
      </w:tr>
    </w:tbl>
    <w:p w14:paraId="01B5DAD7"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389912CB" w14:textId="77777777" w:rsidR="00641905" w:rsidRDefault="00641905" w:rsidP="00641905">
      <w:pPr>
        <w:shd w:val="clear" w:color="auto" w:fill="FFFFFF"/>
        <w:spacing w:after="0" w:line="240" w:lineRule="auto"/>
        <w:jc w:val="both"/>
        <w:rPr>
          <w:rFonts w:ascii="Trebuchet MS" w:eastAsia="Times New Roman" w:hAnsi="Trebuchet MS"/>
          <w:b/>
          <w:iCs/>
          <w:color w:val="154E81"/>
          <w:spacing w:val="-2"/>
          <w:kern w:val="0"/>
          <w:u w:val="single"/>
          <w:shd w:val="clear" w:color="auto" w:fill="FFFFFF"/>
        </w:rPr>
      </w:pPr>
      <w:r>
        <w:rPr>
          <w:rFonts w:ascii="Trebuchet MS" w:eastAsia="Times New Roman" w:hAnsi="Trebuchet MS"/>
          <w:b/>
          <w:iCs/>
          <w:color w:val="154E81"/>
          <w:spacing w:val="-2"/>
          <w:kern w:val="0"/>
          <w:u w:val="single"/>
          <w:shd w:val="clear" w:color="auto" w:fill="FFFFFF"/>
        </w:rPr>
        <w:t>КЛЮЧОВИ ИЗВОДИ</w:t>
      </w:r>
    </w:p>
    <w:p w14:paraId="6372C16D"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44734E9C"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Не всички програми изискват собствено участие</w:t>
      </w:r>
    </w:p>
    <w:p w14:paraId="169B929D"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lastRenderedPageBreak/>
        <w:t xml:space="preserve">• Най-високо финансиране: CERV и </w:t>
      </w:r>
      <w:proofErr w:type="spellStart"/>
      <w:r>
        <w:rPr>
          <w:rFonts w:ascii="Trebuchet MS" w:eastAsia="Times New Roman" w:hAnsi="Trebuchet MS"/>
          <w:bCs/>
          <w:iCs/>
          <w:spacing w:val="-2"/>
          <w:kern w:val="0"/>
          <w:shd w:val="clear" w:color="auto" w:fill="FFFFFF"/>
        </w:rPr>
        <w:t>Horizon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Europe</w:t>
      </w:r>
      <w:proofErr w:type="spellEnd"/>
    </w:p>
    <w:p w14:paraId="69543FA3"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 Най-високо съфинансиране: </w:t>
      </w:r>
      <w:proofErr w:type="spellStart"/>
      <w:r>
        <w:rPr>
          <w:rFonts w:ascii="Trebuchet MS" w:eastAsia="Times New Roman" w:hAnsi="Trebuchet MS"/>
          <w:bCs/>
          <w:iCs/>
          <w:spacing w:val="-2"/>
          <w:kern w:val="0"/>
          <w:shd w:val="clear" w:color="auto" w:fill="FFFFFF"/>
        </w:rPr>
        <w:t>Creative</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Europe</w:t>
      </w:r>
      <w:proofErr w:type="spellEnd"/>
    </w:p>
    <w:p w14:paraId="601A4FAB"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 Най-сложни проекти: </w:t>
      </w:r>
      <w:proofErr w:type="spellStart"/>
      <w:r>
        <w:rPr>
          <w:rFonts w:ascii="Trebuchet MS" w:eastAsia="Times New Roman" w:hAnsi="Trebuchet MS"/>
          <w:bCs/>
          <w:iCs/>
          <w:spacing w:val="-2"/>
          <w:kern w:val="0"/>
          <w:shd w:val="clear" w:color="auto" w:fill="FFFFFF"/>
        </w:rPr>
        <w:t>Horizon</w:t>
      </w:r>
      <w:proofErr w:type="spellEnd"/>
      <w:r>
        <w:rPr>
          <w:rFonts w:ascii="Trebuchet MS" w:eastAsia="Times New Roman" w:hAnsi="Trebuchet MS"/>
          <w:bCs/>
          <w:iCs/>
          <w:spacing w:val="-2"/>
          <w:kern w:val="0"/>
          <w:shd w:val="clear" w:color="auto" w:fill="FFFFFF"/>
        </w:rPr>
        <w:t xml:space="preserve"> </w:t>
      </w:r>
      <w:proofErr w:type="spellStart"/>
      <w:r>
        <w:rPr>
          <w:rFonts w:ascii="Trebuchet MS" w:eastAsia="Times New Roman" w:hAnsi="Trebuchet MS"/>
          <w:bCs/>
          <w:iCs/>
          <w:spacing w:val="-2"/>
          <w:kern w:val="0"/>
          <w:shd w:val="clear" w:color="auto" w:fill="FFFFFF"/>
        </w:rPr>
        <w:t>Europe</w:t>
      </w:r>
      <w:proofErr w:type="spellEnd"/>
      <w:r>
        <w:rPr>
          <w:rFonts w:ascii="Trebuchet MS" w:eastAsia="Times New Roman" w:hAnsi="Trebuchet MS"/>
          <w:bCs/>
          <w:iCs/>
          <w:spacing w:val="-2"/>
          <w:kern w:val="0"/>
          <w:shd w:val="clear" w:color="auto" w:fill="FFFFFF"/>
        </w:rPr>
        <w:t xml:space="preserve"> и </w:t>
      </w:r>
      <w:proofErr w:type="spellStart"/>
      <w:r>
        <w:rPr>
          <w:rFonts w:ascii="Trebuchet MS" w:eastAsia="Times New Roman" w:hAnsi="Trebuchet MS"/>
          <w:bCs/>
          <w:iCs/>
          <w:spacing w:val="-2"/>
          <w:kern w:val="0"/>
          <w:shd w:val="clear" w:color="auto" w:fill="FFFFFF"/>
        </w:rPr>
        <w:t>Interreg</w:t>
      </w:r>
      <w:proofErr w:type="spellEnd"/>
    </w:p>
    <w:p w14:paraId="6C6F2BD5"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r>
        <w:rPr>
          <w:rFonts w:ascii="Trebuchet MS" w:eastAsia="Times New Roman" w:hAnsi="Trebuchet MS"/>
          <w:bCs/>
          <w:iCs/>
          <w:spacing w:val="-2"/>
          <w:kern w:val="0"/>
          <w:shd w:val="clear" w:color="auto" w:fill="FFFFFF"/>
        </w:rPr>
        <w:t xml:space="preserve">• Най-достъпни за начинаещи: </w:t>
      </w:r>
      <w:proofErr w:type="spellStart"/>
      <w:r>
        <w:rPr>
          <w:rFonts w:ascii="Trebuchet MS" w:eastAsia="Times New Roman" w:hAnsi="Trebuchet MS"/>
          <w:bCs/>
          <w:iCs/>
          <w:spacing w:val="-2"/>
          <w:kern w:val="0"/>
          <w:shd w:val="clear" w:color="auto" w:fill="FFFFFF"/>
        </w:rPr>
        <w:t>Erasmus</w:t>
      </w:r>
      <w:proofErr w:type="spellEnd"/>
      <w:r>
        <w:rPr>
          <w:rFonts w:ascii="Trebuchet MS" w:eastAsia="Times New Roman" w:hAnsi="Trebuchet MS"/>
          <w:bCs/>
          <w:iCs/>
          <w:spacing w:val="-2"/>
          <w:kern w:val="0"/>
          <w:shd w:val="clear" w:color="auto" w:fill="FFFFFF"/>
        </w:rPr>
        <w:t>+ и CERV</w:t>
      </w:r>
    </w:p>
    <w:p w14:paraId="7FF18CFA"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70BA43BC" w14:textId="77777777" w:rsidR="00641905" w:rsidRDefault="00641905" w:rsidP="00641905">
      <w:pPr>
        <w:numPr>
          <w:ilvl w:val="1"/>
          <w:numId w:val="1"/>
        </w:numPr>
        <w:shd w:val="clear" w:color="auto" w:fill="FFFFFF"/>
        <w:spacing w:after="0" w:line="240" w:lineRule="auto"/>
        <w:ind w:left="1440"/>
        <w:jc w:val="both"/>
        <w:rPr>
          <w:rFonts w:ascii="Trebuchet MS" w:eastAsia="Times New Roman" w:hAnsi="Trebuchet MS"/>
          <w:b/>
          <w:iCs/>
          <w:color w:val="154E81"/>
          <w:spacing w:val="-2"/>
          <w:kern w:val="0"/>
          <w:u w:val="single"/>
          <w:shd w:val="clear" w:color="auto" w:fill="FFFFFF"/>
        </w:rPr>
      </w:pPr>
      <w:r>
        <w:rPr>
          <w:rFonts w:ascii="Trebuchet MS" w:eastAsia="Times New Roman" w:hAnsi="Trebuchet MS"/>
          <w:b/>
          <w:iCs/>
          <w:color w:val="154E81"/>
          <w:spacing w:val="-2"/>
          <w:kern w:val="0"/>
          <w:u w:val="single"/>
          <w:shd w:val="clear" w:color="auto" w:fill="FFFFFF"/>
        </w:rPr>
        <w:t>ДРУГИ РЕЛЕВАНТНИ ПРОГРАМИ И ИНСТРУМЕНТИ</w:t>
      </w:r>
    </w:p>
    <w:p w14:paraId="34C5794F" w14:textId="77777777" w:rsidR="00641905" w:rsidRDefault="00641905" w:rsidP="00641905">
      <w:pPr>
        <w:shd w:val="clear" w:color="auto" w:fill="FFFFFF"/>
        <w:spacing w:after="0" w:line="240" w:lineRule="auto"/>
        <w:jc w:val="both"/>
        <w:rPr>
          <w:rFonts w:ascii="Trebuchet MS" w:eastAsia="Times New Roman" w:hAnsi="Trebuchet MS"/>
          <w:bCs/>
          <w:iCs/>
          <w:color w:val="17558D"/>
          <w:spacing w:val="-2"/>
          <w:kern w:val="0"/>
          <w:shd w:val="clear" w:color="auto" w:fill="FFFFFF"/>
        </w:rPr>
      </w:pPr>
    </w:p>
    <w:p w14:paraId="16CBA8D7"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lang w:val="en-US"/>
        </w:rPr>
      </w:pPr>
      <w:r>
        <w:rPr>
          <w:rFonts w:ascii="Trebuchet MS" w:eastAsia="Times New Roman" w:hAnsi="Trebuchet MS"/>
          <w:bCs/>
          <w:iCs/>
          <w:color w:val="061624"/>
          <w:spacing w:val="-2"/>
          <w:kern w:val="0"/>
          <w:shd w:val="clear" w:color="auto" w:fill="FFFFFF"/>
        </w:rPr>
        <w:t>В допълнение към основните европейски програми съществуват и редица други инструменти за финансиране, които са приложими в специфични области и контексти. Те разширяват възможностите за кандидатстване, но често изискват по-специализиран подход, по-висок капацитет или по-ясно дефинирана проектна идея.</w:t>
      </w:r>
    </w:p>
    <w:p w14:paraId="1E18EB1E"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lang w:val="en-US"/>
        </w:rPr>
      </w:pPr>
      <w:r>
        <w:rPr>
          <w:rFonts w:ascii="Trebuchet MS" w:eastAsia="Times New Roman" w:hAnsi="Trebuchet MS"/>
          <w:bCs/>
          <w:iCs/>
          <w:color w:val="061624"/>
          <w:spacing w:val="-2"/>
          <w:kern w:val="0"/>
          <w:shd w:val="clear" w:color="auto" w:fill="FFFFFF"/>
        </w:rPr>
        <w:t>Националните програми като „Развитие на човешките ресурси“ и „Образование“ представляват инструменти за прилагане на ESF+ на национално ниво.</w:t>
      </w:r>
    </w:p>
    <w:p w14:paraId="3D009B6A" w14:textId="77777777" w:rsidR="00641905" w:rsidRDefault="00641905" w:rsidP="00641905">
      <w:pPr>
        <w:shd w:val="clear" w:color="auto" w:fill="FFFFFF"/>
        <w:spacing w:after="0" w:line="240" w:lineRule="auto"/>
        <w:jc w:val="both"/>
        <w:rPr>
          <w:rFonts w:ascii="Trebuchet MS" w:eastAsia="Times New Roman" w:hAnsi="Trebuchet MS"/>
          <w:b/>
          <w:iCs/>
          <w:color w:val="061624"/>
          <w:spacing w:val="-2"/>
          <w:kern w:val="0"/>
          <w:shd w:val="clear" w:color="auto" w:fill="FFFFFF"/>
          <w:lang w:val="en-US"/>
        </w:rPr>
      </w:pPr>
    </w:p>
    <w:p w14:paraId="5B571037" w14:textId="77777777" w:rsidR="00641905" w:rsidRDefault="00641905" w:rsidP="00641905">
      <w:pPr>
        <w:numPr>
          <w:ilvl w:val="0"/>
          <w:numId w:val="5"/>
        </w:numPr>
        <w:shd w:val="clear" w:color="auto" w:fill="FFFFFF"/>
        <w:spacing w:after="0" w:line="240" w:lineRule="auto"/>
        <w:jc w:val="both"/>
        <w:rPr>
          <w:rFonts w:ascii="Trebuchet MS" w:eastAsia="Times New Roman" w:hAnsi="Trebuchet MS"/>
          <w:b/>
          <w:iCs/>
          <w:color w:val="154E81"/>
          <w:spacing w:val="-2"/>
          <w:kern w:val="0"/>
          <w:u w:val="single"/>
          <w:shd w:val="clear" w:color="auto" w:fill="FFFFFF"/>
        </w:rPr>
      </w:pPr>
      <w:r>
        <w:rPr>
          <w:rFonts w:ascii="Trebuchet MS" w:eastAsia="Times New Roman" w:hAnsi="Trebuchet MS"/>
          <w:b/>
          <w:iCs/>
          <w:color w:val="154E81"/>
          <w:spacing w:val="-2"/>
          <w:kern w:val="0"/>
          <w:u w:val="single"/>
          <w:shd w:val="clear" w:color="auto" w:fill="FFFFFF"/>
        </w:rPr>
        <w:t>INTERREG EUROPE</w:t>
      </w:r>
    </w:p>
    <w:p w14:paraId="3615FE99"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
    <w:p w14:paraId="04D50DA6"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roofErr w:type="spellStart"/>
      <w:r>
        <w:rPr>
          <w:rFonts w:ascii="Trebuchet MS" w:eastAsia="Times New Roman" w:hAnsi="Trebuchet MS"/>
          <w:bCs/>
          <w:iCs/>
          <w:color w:val="061624"/>
          <w:spacing w:val="-2"/>
          <w:kern w:val="0"/>
          <w:shd w:val="clear" w:color="auto" w:fill="FFFFFF"/>
        </w:rPr>
        <w:t>Interreg</w:t>
      </w:r>
      <w:proofErr w:type="spellEnd"/>
      <w:r>
        <w:rPr>
          <w:rFonts w:ascii="Trebuchet MS" w:eastAsia="Times New Roman" w:hAnsi="Trebuchet MS"/>
          <w:bCs/>
          <w:iCs/>
          <w:color w:val="061624"/>
          <w:spacing w:val="-2"/>
          <w:kern w:val="0"/>
          <w:shd w:val="clear" w:color="auto" w:fill="FFFFFF"/>
        </w:rPr>
        <w:t xml:space="preserve"> </w:t>
      </w:r>
      <w:proofErr w:type="spellStart"/>
      <w:r>
        <w:rPr>
          <w:rFonts w:ascii="Trebuchet MS" w:eastAsia="Times New Roman" w:hAnsi="Trebuchet MS"/>
          <w:bCs/>
          <w:iCs/>
          <w:color w:val="061624"/>
          <w:spacing w:val="-2"/>
          <w:kern w:val="0"/>
          <w:shd w:val="clear" w:color="auto" w:fill="FFFFFF"/>
        </w:rPr>
        <w:t>Europe</w:t>
      </w:r>
      <w:proofErr w:type="spellEnd"/>
      <w:r>
        <w:rPr>
          <w:rFonts w:ascii="Trebuchet MS" w:eastAsia="Times New Roman" w:hAnsi="Trebuchet MS"/>
          <w:bCs/>
          <w:iCs/>
          <w:color w:val="061624"/>
          <w:spacing w:val="-2"/>
          <w:kern w:val="0"/>
          <w:shd w:val="clear" w:color="auto" w:fill="FFFFFF"/>
        </w:rPr>
        <w:t xml:space="preserve"> е програма за междурегионално сътрудничество, насочена към подобряване на публичните политики чрез обмен на опит и добри практики между региони в Европейския съюз. За разлика от трансграничните програми, тя не финансира директни дейности с крайни бенефициенти, а подкрепя анализи, разработване на стратегии, пилотни действия и подобряване на управлението на политики.</w:t>
      </w:r>
    </w:p>
    <w:p w14:paraId="7C795984"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
    <w:p w14:paraId="566C1057"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Проектите са насочени към институционално развитие и учене между организации, като участието обикновено включва партньорства между публични органи, агенции и организации с експертен капацитет. Това прави програмата по-подходяща за по-опитни кандидати и структури, ангажирани с политики и стратегическо планиране.</w:t>
      </w:r>
    </w:p>
    <w:p w14:paraId="0ABBCF52"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
    <w:p w14:paraId="620D3DFA"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Официален източник:</w:t>
      </w:r>
    </w:p>
    <w:p w14:paraId="310F7AB6"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hyperlink r:id="rId21" w:history="1">
        <w:r>
          <w:rPr>
            <w:rStyle w:val="ae"/>
            <w:rFonts w:ascii="Trebuchet MS" w:eastAsia="Times New Roman" w:hAnsi="Trebuchet MS"/>
            <w:bCs/>
            <w:iCs/>
            <w:spacing w:val="-2"/>
            <w:kern w:val="0"/>
            <w:shd w:val="clear" w:color="auto" w:fill="FFFFFF"/>
          </w:rPr>
          <w:t>https://www.interregeurope.eu/</w:t>
        </w:r>
      </w:hyperlink>
      <w:r>
        <w:rPr>
          <w:rFonts w:ascii="Trebuchet MS" w:eastAsia="Times New Roman" w:hAnsi="Trebuchet MS"/>
          <w:bCs/>
          <w:iCs/>
          <w:color w:val="061624"/>
          <w:spacing w:val="-2"/>
          <w:kern w:val="0"/>
          <w:shd w:val="clear" w:color="auto" w:fill="FFFFFF"/>
        </w:rPr>
        <w:t xml:space="preserve"> </w:t>
      </w:r>
    </w:p>
    <w:p w14:paraId="39E35842"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
    <w:p w14:paraId="61BDA208" w14:textId="77777777" w:rsidR="00641905" w:rsidRDefault="00641905" w:rsidP="00641905">
      <w:pPr>
        <w:numPr>
          <w:ilvl w:val="0"/>
          <w:numId w:val="5"/>
        </w:numPr>
        <w:shd w:val="clear" w:color="auto" w:fill="FFFFFF"/>
        <w:spacing w:after="0" w:line="240" w:lineRule="auto"/>
        <w:jc w:val="both"/>
        <w:rPr>
          <w:rFonts w:ascii="Trebuchet MS" w:eastAsia="Times New Roman" w:hAnsi="Trebuchet MS"/>
          <w:b/>
          <w:iCs/>
          <w:color w:val="154E81"/>
          <w:spacing w:val="-2"/>
          <w:kern w:val="0"/>
          <w:u w:val="single"/>
          <w:shd w:val="clear" w:color="auto" w:fill="FFFFFF"/>
        </w:rPr>
      </w:pPr>
      <w:r>
        <w:rPr>
          <w:rFonts w:ascii="Trebuchet MS" w:eastAsia="Times New Roman" w:hAnsi="Trebuchet MS"/>
          <w:b/>
          <w:iCs/>
          <w:color w:val="154E81"/>
          <w:spacing w:val="-2"/>
          <w:kern w:val="0"/>
          <w:u w:val="single"/>
          <w:shd w:val="clear" w:color="auto" w:fill="FFFFFF"/>
        </w:rPr>
        <w:t>INTERREG VI-A БЪЛГАРИЯ – СЪРБИЯ</w:t>
      </w:r>
    </w:p>
    <w:p w14:paraId="42FE06BD" w14:textId="77777777" w:rsidR="00641905" w:rsidRDefault="00641905" w:rsidP="00641905">
      <w:pPr>
        <w:shd w:val="clear" w:color="auto" w:fill="FFFFFF"/>
        <w:spacing w:after="0" w:line="240" w:lineRule="auto"/>
        <w:ind w:left="720"/>
        <w:jc w:val="both"/>
        <w:rPr>
          <w:rFonts w:ascii="Trebuchet MS" w:eastAsia="Times New Roman" w:hAnsi="Trebuchet MS"/>
          <w:bCs/>
          <w:iCs/>
          <w:color w:val="061624"/>
          <w:spacing w:val="-2"/>
          <w:kern w:val="0"/>
          <w:shd w:val="clear" w:color="auto" w:fill="FFFFFF"/>
        </w:rPr>
      </w:pPr>
    </w:p>
    <w:p w14:paraId="265567D7"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roofErr w:type="spellStart"/>
      <w:r>
        <w:rPr>
          <w:rFonts w:ascii="Trebuchet MS" w:eastAsia="Times New Roman" w:hAnsi="Trebuchet MS"/>
          <w:bCs/>
          <w:iCs/>
          <w:color w:val="061624"/>
          <w:spacing w:val="-2"/>
          <w:kern w:val="0"/>
          <w:shd w:val="clear" w:color="auto" w:fill="FFFFFF"/>
        </w:rPr>
        <w:t>Interreg</w:t>
      </w:r>
      <w:proofErr w:type="spellEnd"/>
      <w:r>
        <w:rPr>
          <w:rFonts w:ascii="Trebuchet MS" w:eastAsia="Times New Roman" w:hAnsi="Trebuchet MS"/>
          <w:bCs/>
          <w:iCs/>
          <w:color w:val="061624"/>
          <w:spacing w:val="-2"/>
          <w:kern w:val="0"/>
          <w:shd w:val="clear" w:color="auto" w:fill="FFFFFF"/>
        </w:rPr>
        <w:t xml:space="preserve"> България–Сърбия е трансгранична програма, финансирана от Европейския фонд за регионално развитие, която подкрепя съвместни инициативи между организации от двете държави. Програмата цели да насърчи икономическото, социалното и териториалното развитие на граничния регион чрез съвместни проекти.</w:t>
      </w:r>
    </w:p>
    <w:p w14:paraId="357D5B27"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Подходящи са дейности в области като туризъм, културно наследство, социално включване, екологични инициативи и местно развитие. Основно изискване е наличието на партньор от другата държава и доказан трансграничен ефект, като проектът трябва да носи полза и за двете страни.</w:t>
      </w:r>
    </w:p>
    <w:p w14:paraId="251EBBEA" w14:textId="77777777" w:rsidR="00641905" w:rsidRDefault="00641905" w:rsidP="00641905">
      <w:pPr>
        <w:shd w:val="clear" w:color="auto" w:fill="FFFFFF"/>
        <w:spacing w:after="0" w:line="240" w:lineRule="auto"/>
        <w:ind w:left="360"/>
        <w:jc w:val="both"/>
        <w:rPr>
          <w:rFonts w:ascii="Trebuchet MS" w:eastAsia="Times New Roman" w:hAnsi="Trebuchet MS"/>
          <w:bCs/>
          <w:iCs/>
          <w:color w:val="061624"/>
          <w:spacing w:val="-2"/>
          <w:kern w:val="0"/>
          <w:shd w:val="clear" w:color="auto" w:fill="FFFFFF"/>
        </w:rPr>
      </w:pPr>
    </w:p>
    <w:p w14:paraId="271BC432"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Официален източник:</w:t>
      </w:r>
    </w:p>
    <w:p w14:paraId="6F4270E0"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hyperlink r:id="rId22" w:history="1">
        <w:r>
          <w:rPr>
            <w:rStyle w:val="ae"/>
            <w:rFonts w:ascii="Trebuchet MS" w:eastAsia="Times New Roman" w:hAnsi="Trebuchet MS"/>
            <w:bCs/>
            <w:iCs/>
            <w:spacing w:val="-2"/>
            <w:kern w:val="0"/>
            <w:shd w:val="clear" w:color="auto" w:fill="FFFFFF"/>
          </w:rPr>
          <w:t>https://ipa-bgrs.mrrb.bg/</w:t>
        </w:r>
      </w:hyperlink>
      <w:r>
        <w:rPr>
          <w:rFonts w:ascii="Trebuchet MS" w:eastAsia="Times New Roman" w:hAnsi="Trebuchet MS"/>
          <w:bCs/>
          <w:iCs/>
          <w:color w:val="061624"/>
          <w:spacing w:val="-2"/>
          <w:kern w:val="0"/>
          <w:shd w:val="clear" w:color="auto" w:fill="FFFFFF"/>
        </w:rPr>
        <w:t xml:space="preserve"> </w:t>
      </w:r>
    </w:p>
    <w:p w14:paraId="62F142D9"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
    <w:p w14:paraId="5C9E7A3D" w14:textId="77777777" w:rsidR="00641905" w:rsidRDefault="00641905" w:rsidP="00641905">
      <w:pPr>
        <w:numPr>
          <w:ilvl w:val="0"/>
          <w:numId w:val="5"/>
        </w:numPr>
        <w:shd w:val="clear" w:color="auto" w:fill="FFFFFF"/>
        <w:spacing w:after="0" w:line="240" w:lineRule="auto"/>
        <w:jc w:val="both"/>
        <w:rPr>
          <w:rFonts w:ascii="Trebuchet MS" w:eastAsia="Times New Roman" w:hAnsi="Trebuchet MS"/>
          <w:b/>
          <w:iCs/>
          <w:color w:val="154E81"/>
          <w:spacing w:val="-2"/>
          <w:kern w:val="0"/>
          <w:u w:val="single"/>
          <w:shd w:val="clear" w:color="auto" w:fill="FFFFFF"/>
        </w:rPr>
      </w:pPr>
      <w:r>
        <w:rPr>
          <w:rFonts w:ascii="Trebuchet MS" w:eastAsia="Times New Roman" w:hAnsi="Trebuchet MS"/>
          <w:b/>
          <w:iCs/>
          <w:color w:val="154E81"/>
          <w:spacing w:val="-2"/>
          <w:kern w:val="0"/>
          <w:u w:val="single"/>
          <w:shd w:val="clear" w:color="auto" w:fill="FFFFFF"/>
        </w:rPr>
        <w:t>ПРОГРАМА „ЦИФРОВА ЕВРОПА“ (DIGITAL EUROPE PROGRAMME)</w:t>
      </w:r>
    </w:p>
    <w:p w14:paraId="46C45638" w14:textId="77777777" w:rsidR="00641905" w:rsidRDefault="00641905" w:rsidP="00641905">
      <w:pPr>
        <w:shd w:val="clear" w:color="auto" w:fill="FFFFFF"/>
        <w:spacing w:after="0" w:line="240" w:lineRule="auto"/>
        <w:ind w:left="720"/>
        <w:jc w:val="both"/>
        <w:rPr>
          <w:rFonts w:ascii="Trebuchet MS" w:eastAsia="Times New Roman" w:hAnsi="Trebuchet MS"/>
          <w:bCs/>
          <w:iCs/>
          <w:color w:val="061624"/>
          <w:spacing w:val="-2"/>
          <w:kern w:val="0"/>
          <w:shd w:val="clear" w:color="auto" w:fill="FFFFFF"/>
        </w:rPr>
      </w:pPr>
    </w:p>
    <w:p w14:paraId="752C76EF"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roofErr w:type="spellStart"/>
      <w:r>
        <w:rPr>
          <w:rFonts w:ascii="Trebuchet MS" w:eastAsia="Times New Roman" w:hAnsi="Trebuchet MS"/>
          <w:bCs/>
          <w:iCs/>
          <w:color w:val="061624"/>
          <w:spacing w:val="-2"/>
          <w:kern w:val="0"/>
          <w:shd w:val="clear" w:color="auto" w:fill="FFFFFF"/>
        </w:rPr>
        <w:lastRenderedPageBreak/>
        <w:t>Digital</w:t>
      </w:r>
      <w:proofErr w:type="spellEnd"/>
      <w:r>
        <w:rPr>
          <w:rFonts w:ascii="Trebuchet MS" w:eastAsia="Times New Roman" w:hAnsi="Trebuchet MS"/>
          <w:bCs/>
          <w:iCs/>
          <w:color w:val="061624"/>
          <w:spacing w:val="-2"/>
          <w:kern w:val="0"/>
          <w:shd w:val="clear" w:color="auto" w:fill="FFFFFF"/>
        </w:rPr>
        <w:t xml:space="preserve"> </w:t>
      </w:r>
      <w:proofErr w:type="spellStart"/>
      <w:r>
        <w:rPr>
          <w:rFonts w:ascii="Trebuchet MS" w:eastAsia="Times New Roman" w:hAnsi="Trebuchet MS"/>
          <w:bCs/>
          <w:iCs/>
          <w:color w:val="061624"/>
          <w:spacing w:val="-2"/>
          <w:kern w:val="0"/>
          <w:shd w:val="clear" w:color="auto" w:fill="FFFFFF"/>
        </w:rPr>
        <w:t>Europe</w:t>
      </w:r>
      <w:proofErr w:type="spellEnd"/>
      <w:r>
        <w:rPr>
          <w:rFonts w:ascii="Trebuchet MS" w:eastAsia="Times New Roman" w:hAnsi="Trebuchet MS"/>
          <w:bCs/>
          <w:iCs/>
          <w:color w:val="061624"/>
          <w:spacing w:val="-2"/>
          <w:kern w:val="0"/>
          <w:shd w:val="clear" w:color="auto" w:fill="FFFFFF"/>
        </w:rPr>
        <w:t xml:space="preserve"> </w:t>
      </w:r>
      <w:proofErr w:type="spellStart"/>
      <w:r>
        <w:rPr>
          <w:rFonts w:ascii="Trebuchet MS" w:eastAsia="Times New Roman" w:hAnsi="Trebuchet MS"/>
          <w:bCs/>
          <w:iCs/>
          <w:color w:val="061624"/>
          <w:spacing w:val="-2"/>
          <w:kern w:val="0"/>
          <w:shd w:val="clear" w:color="auto" w:fill="FFFFFF"/>
        </w:rPr>
        <w:t>Programme</w:t>
      </w:r>
      <w:proofErr w:type="spellEnd"/>
      <w:r>
        <w:rPr>
          <w:rFonts w:ascii="Trebuchet MS" w:eastAsia="Times New Roman" w:hAnsi="Trebuchet MS"/>
          <w:bCs/>
          <w:iCs/>
          <w:color w:val="061624"/>
          <w:spacing w:val="-2"/>
          <w:kern w:val="0"/>
          <w:shd w:val="clear" w:color="auto" w:fill="FFFFFF"/>
        </w:rPr>
        <w:t xml:space="preserve"> е програма на ЕС, насочена към ускоряване на цифровата трансформация на икономиката и обществото. Тя финансира дейности, свързани с развитие на цифрови технологии, изграждане на капацитет и внедряване на иновации в области като изкуствен интелект, киберсигурност, високопроизводителни изчисления и цифрови умения.</w:t>
      </w:r>
    </w:p>
    <w:p w14:paraId="45DBB1CD" w14:textId="77777777" w:rsidR="00641905" w:rsidRDefault="00641905" w:rsidP="00641905">
      <w:pPr>
        <w:shd w:val="clear" w:color="auto" w:fill="FFFFFF"/>
        <w:spacing w:after="0" w:line="240" w:lineRule="auto"/>
        <w:ind w:left="360"/>
        <w:jc w:val="both"/>
        <w:rPr>
          <w:rFonts w:ascii="Trebuchet MS" w:eastAsia="Times New Roman" w:hAnsi="Trebuchet MS"/>
          <w:bCs/>
          <w:iCs/>
          <w:color w:val="061624"/>
          <w:spacing w:val="-2"/>
          <w:kern w:val="0"/>
          <w:shd w:val="clear" w:color="auto" w:fill="FFFFFF"/>
        </w:rPr>
      </w:pPr>
    </w:p>
    <w:p w14:paraId="1840CC6F"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Програмата е по-подходяща за институции, университети, публични органи и организации с технически или иновационен профил. Участието често изисква международни партньорства и високо ниво на експертиза, което я прави по-подходяща за по-напреднали кандидати.</w:t>
      </w:r>
    </w:p>
    <w:p w14:paraId="08EF7254"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
    <w:p w14:paraId="6501B63D"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Официален източник:</w:t>
      </w:r>
    </w:p>
    <w:p w14:paraId="0DB92512" w14:textId="77777777" w:rsidR="00641905" w:rsidRDefault="00641905" w:rsidP="00641905">
      <w:pPr>
        <w:shd w:val="clear" w:color="auto" w:fill="FFFFFF"/>
        <w:spacing w:after="0" w:line="240" w:lineRule="auto"/>
        <w:jc w:val="both"/>
        <w:rPr>
          <w:rFonts w:ascii="Trebuchet MS" w:eastAsia="Times New Roman" w:hAnsi="Trebuchet MS"/>
          <w:b/>
          <w:iCs/>
          <w:color w:val="061624"/>
          <w:spacing w:val="-2"/>
          <w:kern w:val="0"/>
          <w:shd w:val="clear" w:color="auto" w:fill="FFFFFF"/>
        </w:rPr>
      </w:pPr>
      <w:hyperlink r:id="rId23" w:history="1">
        <w:r>
          <w:rPr>
            <w:rStyle w:val="ae"/>
            <w:rFonts w:ascii="Trebuchet MS" w:eastAsia="Times New Roman" w:hAnsi="Trebuchet MS"/>
            <w:b/>
            <w:iCs/>
            <w:spacing w:val="-2"/>
            <w:kern w:val="0"/>
            <w:shd w:val="clear" w:color="auto" w:fill="FFFFFF"/>
          </w:rPr>
          <w:t>https://digital-strategy.ec.europa.eu/en/activities/digital-programme</w:t>
        </w:r>
      </w:hyperlink>
      <w:r>
        <w:rPr>
          <w:rFonts w:ascii="Trebuchet MS" w:eastAsia="Times New Roman" w:hAnsi="Trebuchet MS"/>
          <w:b/>
          <w:iCs/>
          <w:color w:val="061624"/>
          <w:spacing w:val="-2"/>
          <w:kern w:val="0"/>
          <w:shd w:val="clear" w:color="auto" w:fill="FFFFFF"/>
        </w:rPr>
        <w:t xml:space="preserve"> </w:t>
      </w:r>
    </w:p>
    <w:p w14:paraId="12CFCE07" w14:textId="77777777" w:rsidR="00641905" w:rsidRDefault="00641905" w:rsidP="00641905">
      <w:pPr>
        <w:shd w:val="clear" w:color="auto" w:fill="FFFFFF"/>
        <w:spacing w:after="0" w:line="240" w:lineRule="auto"/>
        <w:jc w:val="both"/>
        <w:rPr>
          <w:rFonts w:ascii="Trebuchet MS" w:eastAsia="Times New Roman" w:hAnsi="Trebuchet MS"/>
          <w:b/>
          <w:iCs/>
          <w:color w:val="061624"/>
          <w:spacing w:val="-2"/>
          <w:kern w:val="0"/>
          <w:shd w:val="clear" w:color="auto" w:fill="FFFFFF"/>
        </w:rPr>
      </w:pPr>
    </w:p>
    <w:p w14:paraId="491F95A5" w14:textId="77777777" w:rsidR="00641905" w:rsidRDefault="00641905" w:rsidP="00641905">
      <w:pPr>
        <w:numPr>
          <w:ilvl w:val="0"/>
          <w:numId w:val="5"/>
        </w:numPr>
        <w:shd w:val="clear" w:color="auto" w:fill="FFFFFF"/>
        <w:spacing w:after="0" w:line="240" w:lineRule="auto"/>
        <w:jc w:val="both"/>
        <w:rPr>
          <w:rFonts w:ascii="Trebuchet MS" w:eastAsia="Times New Roman" w:hAnsi="Trebuchet MS"/>
          <w:bCs/>
          <w:iCs/>
          <w:color w:val="154E81"/>
          <w:spacing w:val="-2"/>
          <w:kern w:val="0"/>
          <w:u w:val="single"/>
          <w:shd w:val="clear" w:color="auto" w:fill="FFFFFF"/>
        </w:rPr>
      </w:pPr>
      <w:r>
        <w:rPr>
          <w:rFonts w:ascii="Trebuchet MS" w:eastAsia="Times New Roman" w:hAnsi="Trebuchet MS"/>
          <w:bCs/>
          <w:iCs/>
          <w:color w:val="154E81"/>
          <w:spacing w:val="-2"/>
          <w:kern w:val="0"/>
          <w:u w:val="single"/>
          <w:shd w:val="clear" w:color="auto" w:fill="FFFFFF"/>
        </w:rPr>
        <w:t>СТРАТЕГИЧЕСКИ ПЛАН ЗА РАЗВИТИЕ НА ЗЕМЕДЕЛИЕТО И СЕЛСКИТЕ РАЙОНИ</w:t>
      </w:r>
    </w:p>
    <w:p w14:paraId="5BBCB022" w14:textId="77777777" w:rsidR="00641905" w:rsidRDefault="00641905" w:rsidP="00641905">
      <w:pPr>
        <w:shd w:val="clear" w:color="auto" w:fill="FFFFFF"/>
        <w:spacing w:after="0" w:line="240" w:lineRule="auto"/>
        <w:ind w:left="720"/>
        <w:jc w:val="both"/>
        <w:rPr>
          <w:rFonts w:ascii="Trebuchet MS" w:eastAsia="Times New Roman" w:hAnsi="Trebuchet MS"/>
          <w:b/>
          <w:iCs/>
          <w:color w:val="061624"/>
          <w:spacing w:val="-2"/>
          <w:kern w:val="0"/>
          <w:shd w:val="clear" w:color="auto" w:fill="FFFFFF"/>
        </w:rPr>
      </w:pPr>
    </w:p>
    <w:p w14:paraId="70BDF658"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Стратегическият план за развитие на земеделието и селските райони е част от Общата селскостопанска политика на ЕС и представлява основен инструмент за финансиране на дейности в селските региони. Той обхваща широк спектър от интервенции, включително развитие на местни икономики, подкрепа за земеделие, социални услуги, инфраструктура и инициативи за местни общности.</w:t>
      </w:r>
    </w:p>
    <w:p w14:paraId="42A080AF" w14:textId="77777777" w:rsidR="00641905" w:rsidRDefault="00641905" w:rsidP="00641905">
      <w:pPr>
        <w:shd w:val="clear" w:color="auto" w:fill="FFFFFF"/>
        <w:spacing w:after="0" w:line="240" w:lineRule="auto"/>
        <w:ind w:left="360"/>
        <w:jc w:val="both"/>
        <w:rPr>
          <w:rFonts w:ascii="Trebuchet MS" w:eastAsia="Times New Roman" w:hAnsi="Trebuchet MS"/>
          <w:bCs/>
          <w:iCs/>
          <w:color w:val="061624"/>
          <w:spacing w:val="-2"/>
          <w:kern w:val="0"/>
          <w:shd w:val="clear" w:color="auto" w:fill="FFFFFF"/>
        </w:rPr>
      </w:pPr>
    </w:p>
    <w:p w14:paraId="22759703"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Програмата е особено подходяща за общини, местни инициативни групи (МИГ), неправителствени организации и структури, работещи в селски райони. Тя предлага възможности за финансиране на малки и средни проекти с локално въздействие.</w:t>
      </w:r>
    </w:p>
    <w:p w14:paraId="142F14FA"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
    <w:p w14:paraId="6D4467DA"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Официален източник:</w:t>
      </w:r>
    </w:p>
    <w:p w14:paraId="7450F666"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hyperlink r:id="rId24" w:history="1">
        <w:r>
          <w:rPr>
            <w:rStyle w:val="ae"/>
            <w:rFonts w:ascii="Trebuchet MS" w:eastAsia="Times New Roman" w:hAnsi="Trebuchet MS"/>
            <w:bCs/>
            <w:iCs/>
            <w:spacing w:val="-2"/>
            <w:kern w:val="0"/>
            <w:shd w:val="clear" w:color="auto" w:fill="FFFFFF"/>
          </w:rPr>
          <w:t>https://www.mzh.government.bg/bg/</w:t>
        </w:r>
      </w:hyperlink>
      <w:r>
        <w:rPr>
          <w:rFonts w:ascii="Trebuchet MS" w:eastAsia="Times New Roman" w:hAnsi="Trebuchet MS"/>
          <w:bCs/>
          <w:iCs/>
          <w:color w:val="061624"/>
          <w:spacing w:val="-2"/>
          <w:kern w:val="0"/>
          <w:shd w:val="clear" w:color="auto" w:fill="FFFFFF"/>
        </w:rPr>
        <w:t xml:space="preserve"> </w:t>
      </w:r>
    </w:p>
    <w:p w14:paraId="6109AFF2" w14:textId="77777777" w:rsidR="00641905" w:rsidRDefault="00641905" w:rsidP="00641905">
      <w:pPr>
        <w:shd w:val="clear" w:color="auto" w:fill="FFFFFF"/>
        <w:spacing w:after="0" w:line="240" w:lineRule="auto"/>
        <w:jc w:val="both"/>
        <w:rPr>
          <w:rFonts w:ascii="Trebuchet MS" w:eastAsia="Times New Roman" w:hAnsi="Trebuchet MS"/>
          <w:b/>
          <w:iCs/>
          <w:color w:val="061624"/>
          <w:spacing w:val="-2"/>
          <w:kern w:val="0"/>
          <w:shd w:val="clear" w:color="auto" w:fill="FFFFFF"/>
        </w:rPr>
      </w:pPr>
    </w:p>
    <w:p w14:paraId="4BAFD1B9" w14:textId="77777777" w:rsidR="00641905" w:rsidRDefault="00641905" w:rsidP="00641905">
      <w:pPr>
        <w:numPr>
          <w:ilvl w:val="0"/>
          <w:numId w:val="5"/>
        </w:numPr>
        <w:shd w:val="clear" w:color="auto" w:fill="FFFFFF"/>
        <w:spacing w:after="0" w:line="240" w:lineRule="auto"/>
        <w:jc w:val="both"/>
        <w:rPr>
          <w:rFonts w:ascii="Trebuchet MS" w:eastAsia="Times New Roman" w:hAnsi="Trebuchet MS"/>
          <w:b/>
          <w:iCs/>
          <w:color w:val="154E81"/>
          <w:spacing w:val="-2"/>
          <w:kern w:val="0"/>
          <w:u w:val="single"/>
          <w:shd w:val="clear" w:color="auto" w:fill="FFFFFF"/>
        </w:rPr>
      </w:pPr>
      <w:r>
        <w:rPr>
          <w:rFonts w:ascii="Trebuchet MS" w:eastAsia="Times New Roman" w:hAnsi="Trebuchet MS"/>
          <w:b/>
          <w:iCs/>
          <w:color w:val="154E81"/>
          <w:spacing w:val="-2"/>
          <w:kern w:val="0"/>
          <w:u w:val="single"/>
          <w:shd w:val="clear" w:color="auto" w:fill="FFFFFF"/>
        </w:rPr>
        <w:t>ПРОГРАМА „РАЗВИТИЕ НА ЧОВЕШКИТЕ РЕСУРСИ“ (ПРЧР)</w:t>
      </w:r>
    </w:p>
    <w:p w14:paraId="330D74E2" w14:textId="77777777" w:rsidR="00641905" w:rsidRDefault="00641905" w:rsidP="00641905">
      <w:pPr>
        <w:shd w:val="clear" w:color="auto" w:fill="FFFFFF"/>
        <w:spacing w:after="0" w:line="240" w:lineRule="auto"/>
        <w:ind w:left="720"/>
        <w:jc w:val="both"/>
        <w:rPr>
          <w:rFonts w:ascii="Trebuchet MS" w:eastAsia="Times New Roman" w:hAnsi="Trebuchet MS"/>
          <w:bCs/>
          <w:iCs/>
          <w:color w:val="154E81"/>
          <w:spacing w:val="-2"/>
          <w:kern w:val="0"/>
          <w:u w:val="single"/>
          <w:shd w:val="clear" w:color="auto" w:fill="FFFFFF"/>
        </w:rPr>
      </w:pPr>
    </w:p>
    <w:p w14:paraId="2649D14D"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Програма „Развитие на човешките ресурси“ е основният инструмент за прилагане на Европейския социален фонд плюс (ESF+) в България. Тя финансира дейности, свързани със заетост, социално включване, образование и обучение, както и предоставяне на социални услуги.</w:t>
      </w:r>
    </w:p>
    <w:p w14:paraId="78EF5095" w14:textId="77777777" w:rsidR="00641905" w:rsidRDefault="00641905" w:rsidP="00641905">
      <w:pPr>
        <w:shd w:val="clear" w:color="auto" w:fill="FFFFFF"/>
        <w:spacing w:after="0" w:line="240" w:lineRule="auto"/>
        <w:ind w:left="360"/>
        <w:jc w:val="both"/>
        <w:rPr>
          <w:rFonts w:ascii="Trebuchet MS" w:eastAsia="Times New Roman" w:hAnsi="Trebuchet MS"/>
          <w:bCs/>
          <w:iCs/>
          <w:color w:val="061624"/>
          <w:spacing w:val="-2"/>
          <w:kern w:val="0"/>
          <w:shd w:val="clear" w:color="auto" w:fill="FFFFFF"/>
        </w:rPr>
      </w:pPr>
    </w:p>
    <w:p w14:paraId="0FF36DA0"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Програмата е от ключово значение за неправителствени и социални организации, които работят с уязвими групи и реализират дългосрочни социални интервенции. Проектите често са с по-голям обем и изискват административен капацитет и устойчивост.</w:t>
      </w:r>
    </w:p>
    <w:p w14:paraId="08C15298" w14:textId="77777777" w:rsidR="00641905" w:rsidRDefault="00641905" w:rsidP="00641905">
      <w:pPr>
        <w:shd w:val="clear" w:color="auto" w:fill="FFFFFF"/>
        <w:spacing w:after="0" w:line="240" w:lineRule="auto"/>
        <w:ind w:left="360"/>
        <w:jc w:val="both"/>
        <w:rPr>
          <w:rFonts w:ascii="Trebuchet MS" w:eastAsia="Times New Roman" w:hAnsi="Trebuchet MS"/>
          <w:bCs/>
          <w:iCs/>
          <w:color w:val="061624"/>
          <w:spacing w:val="-2"/>
          <w:kern w:val="0"/>
          <w:shd w:val="clear" w:color="auto" w:fill="FFFFFF"/>
        </w:rPr>
      </w:pPr>
    </w:p>
    <w:p w14:paraId="7B8A3EEC"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Официален източник:</w:t>
      </w:r>
    </w:p>
    <w:p w14:paraId="019CDC4C"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hyperlink r:id="rId25" w:history="1">
        <w:r>
          <w:rPr>
            <w:rStyle w:val="ae"/>
            <w:rFonts w:ascii="Trebuchet MS" w:eastAsia="Times New Roman" w:hAnsi="Trebuchet MS"/>
            <w:bCs/>
            <w:iCs/>
            <w:spacing w:val="-2"/>
            <w:kern w:val="0"/>
            <w:shd w:val="clear" w:color="auto" w:fill="FFFFFF"/>
          </w:rPr>
          <w:t>https://esf.bg/wps/portal/program-hrd/home</w:t>
        </w:r>
      </w:hyperlink>
    </w:p>
    <w:p w14:paraId="79BC0D1F"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
    <w:p w14:paraId="3E506356" w14:textId="77777777" w:rsidR="00641905" w:rsidRDefault="00641905" w:rsidP="00641905">
      <w:pPr>
        <w:numPr>
          <w:ilvl w:val="0"/>
          <w:numId w:val="5"/>
        </w:numPr>
        <w:shd w:val="clear" w:color="auto" w:fill="FFFFFF"/>
        <w:spacing w:after="0" w:line="240" w:lineRule="auto"/>
        <w:jc w:val="both"/>
        <w:rPr>
          <w:rFonts w:ascii="Trebuchet MS" w:eastAsia="Times New Roman" w:hAnsi="Trebuchet MS"/>
          <w:b/>
          <w:iCs/>
          <w:color w:val="154E81"/>
          <w:spacing w:val="-2"/>
          <w:kern w:val="0"/>
          <w:u w:val="single"/>
          <w:shd w:val="clear" w:color="auto" w:fill="FFFFFF"/>
        </w:rPr>
      </w:pPr>
      <w:r>
        <w:rPr>
          <w:rFonts w:ascii="Trebuchet MS" w:eastAsia="Times New Roman" w:hAnsi="Trebuchet MS"/>
          <w:b/>
          <w:iCs/>
          <w:color w:val="154E81"/>
          <w:spacing w:val="-2"/>
          <w:kern w:val="0"/>
          <w:u w:val="single"/>
          <w:shd w:val="clear" w:color="auto" w:fill="FFFFFF"/>
        </w:rPr>
        <w:t>ПРОГРАМА „ОБРАЗОВАНИЕ“</w:t>
      </w:r>
    </w:p>
    <w:p w14:paraId="2CFFB009" w14:textId="77777777" w:rsidR="00641905" w:rsidRDefault="00641905" w:rsidP="00641905">
      <w:pPr>
        <w:shd w:val="clear" w:color="auto" w:fill="FFFFFF"/>
        <w:spacing w:after="0" w:line="240" w:lineRule="auto"/>
        <w:ind w:left="720"/>
        <w:jc w:val="both"/>
        <w:rPr>
          <w:rFonts w:ascii="Trebuchet MS" w:eastAsia="Times New Roman" w:hAnsi="Trebuchet MS"/>
          <w:bCs/>
          <w:iCs/>
          <w:color w:val="061624"/>
          <w:spacing w:val="-2"/>
          <w:kern w:val="0"/>
          <w:shd w:val="clear" w:color="auto" w:fill="FFFFFF"/>
        </w:rPr>
      </w:pPr>
    </w:p>
    <w:p w14:paraId="68112248"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 xml:space="preserve">Програма „Образование“ е национална програма, съфинансирана от ЕС, която подкрепя достъпа до образование, развитието на умения и модернизацията на </w:t>
      </w:r>
      <w:r>
        <w:rPr>
          <w:rFonts w:ascii="Trebuchet MS" w:eastAsia="Times New Roman" w:hAnsi="Trebuchet MS"/>
          <w:bCs/>
          <w:iCs/>
          <w:color w:val="061624"/>
          <w:spacing w:val="-2"/>
          <w:kern w:val="0"/>
          <w:shd w:val="clear" w:color="auto" w:fill="FFFFFF"/>
        </w:rPr>
        <w:lastRenderedPageBreak/>
        <w:t>образователната система. Тя финансира дейности, свързани с приобщаващо образование, квалификация, иновации в обучението и работа с уязвими групи.</w:t>
      </w:r>
    </w:p>
    <w:p w14:paraId="745D1C43" w14:textId="77777777" w:rsidR="00641905" w:rsidRDefault="00641905" w:rsidP="00641905">
      <w:pPr>
        <w:shd w:val="clear" w:color="auto" w:fill="FFFFFF"/>
        <w:spacing w:after="0" w:line="240" w:lineRule="auto"/>
        <w:ind w:left="360"/>
        <w:jc w:val="both"/>
        <w:rPr>
          <w:rFonts w:ascii="Trebuchet MS" w:eastAsia="Times New Roman" w:hAnsi="Trebuchet MS"/>
          <w:bCs/>
          <w:iCs/>
          <w:color w:val="061624"/>
          <w:spacing w:val="-2"/>
          <w:kern w:val="0"/>
          <w:shd w:val="clear" w:color="auto" w:fill="FFFFFF"/>
        </w:rPr>
      </w:pPr>
    </w:p>
    <w:p w14:paraId="33123D10"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Програмата е подходяща за училища, университети, обучителни организации и неправителствени структури, работещи в сферата на образованието и социалното включване чрез обучение.</w:t>
      </w:r>
    </w:p>
    <w:p w14:paraId="5DBD5911" w14:textId="77777777" w:rsidR="00641905" w:rsidRDefault="00641905" w:rsidP="00641905">
      <w:pPr>
        <w:shd w:val="clear" w:color="auto" w:fill="FFFFFF"/>
        <w:spacing w:after="0" w:line="240" w:lineRule="auto"/>
        <w:ind w:left="360"/>
        <w:jc w:val="both"/>
        <w:rPr>
          <w:rFonts w:ascii="Trebuchet MS" w:eastAsia="Times New Roman" w:hAnsi="Trebuchet MS"/>
          <w:bCs/>
          <w:iCs/>
          <w:color w:val="061624"/>
          <w:spacing w:val="-2"/>
          <w:kern w:val="0"/>
          <w:shd w:val="clear" w:color="auto" w:fill="FFFFFF"/>
        </w:rPr>
      </w:pPr>
    </w:p>
    <w:p w14:paraId="440EBB3D"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Официален източник:</w:t>
      </w:r>
    </w:p>
    <w:p w14:paraId="0431F9BE"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hyperlink r:id="rId26" w:history="1">
        <w:r>
          <w:rPr>
            <w:rStyle w:val="ae"/>
            <w:rFonts w:ascii="Trebuchet MS" w:eastAsia="Times New Roman" w:hAnsi="Trebuchet MS"/>
            <w:bCs/>
            <w:iCs/>
            <w:spacing w:val="-2"/>
            <w:kern w:val="0"/>
            <w:shd w:val="clear" w:color="auto" w:fill="FFFFFF"/>
          </w:rPr>
          <w:t>https://sf.mon.bg/?utm</w:t>
        </w:r>
      </w:hyperlink>
      <w:r>
        <w:rPr>
          <w:rFonts w:ascii="Trebuchet MS" w:eastAsia="Times New Roman" w:hAnsi="Trebuchet MS"/>
          <w:bCs/>
          <w:iCs/>
          <w:color w:val="061624"/>
          <w:spacing w:val="-2"/>
          <w:kern w:val="0"/>
          <w:shd w:val="clear" w:color="auto" w:fill="FFFFFF"/>
        </w:rPr>
        <w:t xml:space="preserve"> </w:t>
      </w:r>
    </w:p>
    <w:p w14:paraId="0C4694B1"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
    <w:p w14:paraId="0AC2F34A" w14:textId="77777777" w:rsidR="00641905" w:rsidRDefault="00641905" w:rsidP="00641905">
      <w:pPr>
        <w:numPr>
          <w:ilvl w:val="0"/>
          <w:numId w:val="5"/>
        </w:numPr>
        <w:shd w:val="clear" w:color="auto" w:fill="FFFFFF"/>
        <w:spacing w:after="0" w:line="240" w:lineRule="auto"/>
        <w:jc w:val="both"/>
        <w:rPr>
          <w:rFonts w:ascii="Trebuchet MS" w:eastAsia="Times New Roman" w:hAnsi="Trebuchet MS"/>
          <w:b/>
          <w:iCs/>
          <w:color w:val="154E81"/>
          <w:spacing w:val="-2"/>
          <w:kern w:val="0"/>
          <w:u w:val="single"/>
          <w:shd w:val="clear" w:color="auto" w:fill="FFFFFF"/>
        </w:rPr>
      </w:pPr>
      <w:r>
        <w:rPr>
          <w:rFonts w:ascii="Trebuchet MS" w:eastAsia="Times New Roman" w:hAnsi="Trebuchet MS"/>
          <w:b/>
          <w:iCs/>
          <w:color w:val="154E81"/>
          <w:spacing w:val="-2"/>
          <w:kern w:val="0"/>
          <w:u w:val="single"/>
          <w:shd w:val="clear" w:color="auto" w:fill="FFFFFF"/>
        </w:rPr>
        <w:t>ДУНАВСКА РЕГИОНАЛНА ПРОГРАМА (INTERREG DANUBE REGION PROGRAMME)</w:t>
      </w:r>
    </w:p>
    <w:p w14:paraId="73FC1F11" w14:textId="77777777" w:rsidR="00641905" w:rsidRDefault="00641905" w:rsidP="00641905">
      <w:pPr>
        <w:shd w:val="clear" w:color="auto" w:fill="FFFFFF"/>
        <w:spacing w:after="0" w:line="240" w:lineRule="auto"/>
        <w:jc w:val="both"/>
        <w:rPr>
          <w:rFonts w:ascii="Trebuchet MS" w:eastAsia="Times New Roman" w:hAnsi="Trebuchet MS"/>
          <w:b/>
          <w:iCs/>
          <w:color w:val="061624"/>
          <w:spacing w:val="-2"/>
          <w:kern w:val="0"/>
          <w:shd w:val="clear" w:color="auto" w:fill="FFFFFF"/>
        </w:rPr>
      </w:pPr>
    </w:p>
    <w:p w14:paraId="2A40D06E"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Дунавската регионална програма е част от макрорегионалното сътрудничество в Европа и обхваща множество държави от Дунавския регион. Тя финансира проекти, свързани с иновации, околна среда, мобилност, социални предизвикателства и институционален капацитет.</w:t>
      </w:r>
    </w:p>
    <w:p w14:paraId="1388CC2D"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
    <w:p w14:paraId="020DA761"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Програмата изисква международни партньорства и е насочена към по-сложни и стратегически проекти с регионално въздействие. Подходяща е за организации с опит в управление на проекти и участие в международни консорциуми.</w:t>
      </w:r>
    </w:p>
    <w:p w14:paraId="60DADD39"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
    <w:p w14:paraId="4765BB43"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Официален източник:</w:t>
      </w:r>
    </w:p>
    <w:p w14:paraId="24CDC4DF"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hyperlink r:id="rId27" w:history="1">
        <w:r>
          <w:rPr>
            <w:rStyle w:val="ae"/>
            <w:rFonts w:ascii="Trebuchet MS" w:eastAsia="Times New Roman" w:hAnsi="Trebuchet MS"/>
            <w:bCs/>
            <w:iCs/>
            <w:spacing w:val="-2"/>
            <w:kern w:val="0"/>
            <w:shd w:val="clear" w:color="auto" w:fill="FFFFFF"/>
          </w:rPr>
          <w:t>https://interreg-danube.eu/</w:t>
        </w:r>
      </w:hyperlink>
      <w:r>
        <w:rPr>
          <w:rFonts w:ascii="Trebuchet MS" w:eastAsia="Times New Roman" w:hAnsi="Trebuchet MS"/>
          <w:bCs/>
          <w:iCs/>
          <w:color w:val="061624"/>
          <w:spacing w:val="-2"/>
          <w:kern w:val="0"/>
          <w:shd w:val="clear" w:color="auto" w:fill="FFFFFF"/>
        </w:rPr>
        <w:t xml:space="preserve"> </w:t>
      </w:r>
    </w:p>
    <w:p w14:paraId="05065617"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
    <w:p w14:paraId="5F2150DF"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r>
        <w:rPr>
          <w:rFonts w:ascii="Trebuchet MS" w:eastAsia="Times New Roman" w:hAnsi="Trebuchet MS"/>
          <w:bCs/>
          <w:iCs/>
          <w:color w:val="061624"/>
          <w:spacing w:val="-2"/>
          <w:kern w:val="0"/>
          <w:shd w:val="clear" w:color="auto" w:fill="FFFFFF"/>
        </w:rPr>
        <w:t>Тези допълнителни програми не следва да се разглеждат като алтернатива, а като допълнение към основните инструменти, в зависимост от спецификата на проектната идея.</w:t>
      </w:r>
    </w:p>
    <w:p w14:paraId="1C2874C6" w14:textId="77777777" w:rsidR="00641905" w:rsidRDefault="00641905" w:rsidP="00641905">
      <w:pPr>
        <w:shd w:val="clear" w:color="auto" w:fill="FFFFFF"/>
        <w:spacing w:after="0" w:line="240" w:lineRule="auto"/>
        <w:jc w:val="both"/>
        <w:rPr>
          <w:rFonts w:ascii="Trebuchet MS" w:eastAsia="Times New Roman" w:hAnsi="Trebuchet MS"/>
          <w:bCs/>
          <w:iCs/>
          <w:color w:val="061624"/>
          <w:spacing w:val="-2"/>
          <w:kern w:val="0"/>
          <w:shd w:val="clear" w:color="auto" w:fill="FFFFFF"/>
        </w:rPr>
      </w:pPr>
    </w:p>
    <w:p w14:paraId="571489C6" w14:textId="77777777" w:rsidR="00641905" w:rsidRDefault="00641905" w:rsidP="00641905">
      <w:pPr>
        <w:numPr>
          <w:ilvl w:val="1"/>
          <w:numId w:val="1"/>
        </w:numPr>
        <w:shd w:val="clear" w:color="auto" w:fill="FFFFFF"/>
        <w:spacing w:after="0" w:line="240" w:lineRule="auto"/>
        <w:ind w:left="1440"/>
        <w:jc w:val="both"/>
        <w:rPr>
          <w:rFonts w:ascii="Trebuchet MS" w:eastAsia="Times New Roman" w:hAnsi="Trebuchet MS"/>
          <w:b/>
          <w:iCs/>
          <w:color w:val="1B4D7F"/>
          <w:spacing w:val="-2"/>
          <w:kern w:val="0"/>
          <w:shd w:val="clear" w:color="auto" w:fill="FFFFFF"/>
        </w:rPr>
      </w:pPr>
      <w:r>
        <w:rPr>
          <w:rFonts w:ascii="Trebuchet MS" w:eastAsia="Times New Roman" w:hAnsi="Trebuchet MS"/>
          <w:b/>
          <w:iCs/>
          <w:color w:val="1B4D7F"/>
          <w:spacing w:val="-2"/>
          <w:kern w:val="0"/>
          <w:shd w:val="clear" w:color="auto" w:fill="FFFFFF"/>
        </w:rPr>
        <w:t>ПРАКТИЧЕСКО ПРАВИЛО ЗА ИЗБОР</w:t>
      </w:r>
    </w:p>
    <w:p w14:paraId="49F65376" w14:textId="77777777" w:rsidR="00641905" w:rsidRDefault="00641905" w:rsidP="00641905">
      <w:pPr>
        <w:shd w:val="clear" w:color="auto" w:fill="FFFFFF"/>
        <w:spacing w:after="0" w:line="240" w:lineRule="auto"/>
        <w:jc w:val="both"/>
        <w:rPr>
          <w:rFonts w:ascii="Trebuchet MS" w:eastAsia="Times New Roman" w:hAnsi="Trebuchet MS"/>
          <w:bCs/>
          <w:iCs/>
          <w:color w:val="1B4D7F"/>
          <w:spacing w:val="-2"/>
          <w:kern w:val="0"/>
          <w:shd w:val="clear" w:color="auto" w:fill="FFFFFF"/>
        </w:rPr>
      </w:pPr>
    </w:p>
    <w:p w14:paraId="09ECAA3D" w14:textId="77777777" w:rsidR="00641905" w:rsidRDefault="00641905" w:rsidP="00641905">
      <w:pPr>
        <w:shd w:val="clear" w:color="auto" w:fill="FFFFFF"/>
        <w:spacing w:after="0" w:line="240" w:lineRule="auto"/>
        <w:jc w:val="both"/>
        <w:rPr>
          <w:rFonts w:ascii="Trebuchet MS" w:eastAsia="Times New Roman" w:hAnsi="Trebuchet MS"/>
          <w:bCs/>
          <w:iCs/>
          <w:color w:val="06111C"/>
          <w:spacing w:val="-2"/>
          <w:kern w:val="0"/>
          <w:shd w:val="clear" w:color="auto" w:fill="FFFFFF"/>
        </w:rPr>
      </w:pPr>
      <w:r>
        <w:rPr>
          <w:rFonts w:ascii="Trebuchet MS" w:eastAsia="Times New Roman" w:hAnsi="Trebuchet MS"/>
          <w:bCs/>
          <w:iCs/>
          <w:color w:val="06111C"/>
          <w:spacing w:val="-2"/>
          <w:kern w:val="0"/>
          <w:shd w:val="clear" w:color="auto" w:fill="FFFFFF"/>
        </w:rPr>
        <w:t>Изборът на подходяща програма за финансиране не следва да започва от самия финансов инструмент, а от ясно формулирана проектна идея. В основата на този процес стои идентифицирането на проблема, който ще бъде адресиран, определянето на целевата група, както и преценката на обхвата на дейностите, дали те са локални, международни или трансгранични.</w:t>
      </w:r>
    </w:p>
    <w:p w14:paraId="574BADDE" w14:textId="77777777" w:rsidR="00641905" w:rsidRDefault="00641905" w:rsidP="00641905">
      <w:pPr>
        <w:shd w:val="clear" w:color="auto" w:fill="FFFFFF"/>
        <w:spacing w:after="0" w:line="240" w:lineRule="auto"/>
        <w:jc w:val="both"/>
        <w:rPr>
          <w:rFonts w:ascii="Trebuchet MS" w:eastAsia="Times New Roman" w:hAnsi="Trebuchet MS"/>
          <w:bCs/>
          <w:iCs/>
          <w:color w:val="06111C"/>
          <w:spacing w:val="-2"/>
          <w:kern w:val="0"/>
          <w:shd w:val="clear" w:color="auto" w:fill="FFFFFF"/>
        </w:rPr>
      </w:pPr>
      <w:r>
        <w:rPr>
          <w:rFonts w:ascii="Trebuchet MS" w:eastAsia="Times New Roman" w:hAnsi="Trebuchet MS"/>
          <w:bCs/>
          <w:iCs/>
          <w:color w:val="06111C"/>
          <w:spacing w:val="-2"/>
          <w:kern w:val="0"/>
          <w:shd w:val="clear" w:color="auto" w:fill="FFFFFF"/>
        </w:rPr>
        <w:t>Съществено значение има и характерът на дейностите, които могат да бъдат образователни, социални, доброволчески или иновативни, както и реалистичната оценка на организационния капацитет. Именно съчетаването на тези фактори позволява да се направи обоснован избор на подходяща програма.</w:t>
      </w:r>
    </w:p>
    <w:p w14:paraId="0D59F0F9" w14:textId="77777777" w:rsidR="00641905" w:rsidRDefault="00641905" w:rsidP="00641905">
      <w:pPr>
        <w:shd w:val="clear" w:color="auto" w:fill="FFFFFF"/>
        <w:spacing w:after="0" w:line="240" w:lineRule="auto"/>
        <w:jc w:val="both"/>
        <w:rPr>
          <w:rFonts w:ascii="Trebuchet MS" w:eastAsia="Times New Roman" w:hAnsi="Trebuchet MS"/>
          <w:bCs/>
          <w:iCs/>
          <w:color w:val="06111C"/>
          <w:spacing w:val="-2"/>
          <w:kern w:val="0"/>
          <w:shd w:val="clear" w:color="auto" w:fill="FFFFFF"/>
        </w:rPr>
      </w:pPr>
      <w:r>
        <w:rPr>
          <w:rFonts w:ascii="Trebuchet MS" w:eastAsia="Times New Roman" w:hAnsi="Trebuchet MS"/>
          <w:bCs/>
          <w:iCs/>
          <w:color w:val="06111C"/>
          <w:spacing w:val="-2"/>
          <w:kern w:val="0"/>
          <w:shd w:val="clear" w:color="auto" w:fill="FFFFFF"/>
        </w:rPr>
        <w:t>В практиката често се наблюдава, че основната причина за неуспешно кандидатстване не е липсата на качествена проектна идея, а нейното несъответствие с избрания инструмент за финансиране. Това подчертава необходимостта от стратегически подход при подбора на програма.</w:t>
      </w:r>
    </w:p>
    <w:p w14:paraId="4E7E3355" w14:textId="77777777" w:rsidR="00641905" w:rsidRDefault="00641905" w:rsidP="00641905">
      <w:pPr>
        <w:shd w:val="clear" w:color="auto" w:fill="FFFFFF"/>
        <w:spacing w:after="0" w:line="240" w:lineRule="auto"/>
        <w:jc w:val="both"/>
        <w:rPr>
          <w:rFonts w:ascii="Trebuchet MS" w:eastAsia="Times New Roman" w:hAnsi="Trebuchet MS"/>
          <w:bCs/>
          <w:iCs/>
          <w:color w:val="06111C"/>
          <w:spacing w:val="-2"/>
          <w:kern w:val="0"/>
          <w:shd w:val="clear" w:color="auto" w:fill="FFFFFF"/>
        </w:rPr>
      </w:pPr>
      <w:r>
        <w:rPr>
          <w:rFonts w:ascii="Trebuchet MS" w:eastAsia="Times New Roman" w:hAnsi="Trebuchet MS"/>
          <w:bCs/>
          <w:iCs/>
          <w:color w:val="06111C"/>
          <w:spacing w:val="-2"/>
          <w:kern w:val="0"/>
          <w:shd w:val="clear" w:color="auto" w:fill="FFFFFF"/>
        </w:rPr>
        <w:t xml:space="preserve">В зависимост от типа дейност могат да се разграничат различни съответствия между проектни идеи и програми. Така например инициативи, насочени към младежки дейности и обучение, обикновено се свързват с програмата </w:t>
      </w:r>
      <w:proofErr w:type="spellStart"/>
      <w:r>
        <w:rPr>
          <w:rFonts w:ascii="Trebuchet MS" w:eastAsia="Times New Roman" w:hAnsi="Trebuchet MS"/>
          <w:bCs/>
          <w:iCs/>
          <w:color w:val="06111C"/>
          <w:spacing w:val="-2"/>
          <w:kern w:val="0"/>
          <w:shd w:val="clear" w:color="auto" w:fill="FFFFFF"/>
        </w:rPr>
        <w:t>Erasmus</w:t>
      </w:r>
      <w:proofErr w:type="spellEnd"/>
      <w:r>
        <w:rPr>
          <w:rFonts w:ascii="Trebuchet MS" w:eastAsia="Times New Roman" w:hAnsi="Trebuchet MS"/>
          <w:bCs/>
          <w:iCs/>
          <w:color w:val="06111C"/>
          <w:spacing w:val="-2"/>
          <w:kern w:val="0"/>
          <w:shd w:val="clear" w:color="auto" w:fill="FFFFFF"/>
        </w:rPr>
        <w:t xml:space="preserve">+, дейности в областта на доброволчеството — с </w:t>
      </w:r>
      <w:proofErr w:type="spellStart"/>
      <w:r>
        <w:rPr>
          <w:rFonts w:ascii="Trebuchet MS" w:eastAsia="Times New Roman" w:hAnsi="Trebuchet MS"/>
          <w:bCs/>
          <w:iCs/>
          <w:color w:val="06111C"/>
          <w:spacing w:val="-2"/>
          <w:kern w:val="0"/>
          <w:shd w:val="clear" w:color="auto" w:fill="FFFFFF"/>
        </w:rPr>
        <w:t>European</w:t>
      </w:r>
      <w:proofErr w:type="spellEnd"/>
      <w:r>
        <w:rPr>
          <w:rFonts w:ascii="Trebuchet MS" w:eastAsia="Times New Roman" w:hAnsi="Trebuchet MS"/>
          <w:bCs/>
          <w:iCs/>
          <w:color w:val="06111C"/>
          <w:spacing w:val="-2"/>
          <w:kern w:val="0"/>
          <w:shd w:val="clear" w:color="auto" w:fill="FFFFFF"/>
        </w:rPr>
        <w:t xml:space="preserve"> </w:t>
      </w:r>
      <w:proofErr w:type="spellStart"/>
      <w:r>
        <w:rPr>
          <w:rFonts w:ascii="Trebuchet MS" w:eastAsia="Times New Roman" w:hAnsi="Trebuchet MS"/>
          <w:bCs/>
          <w:iCs/>
          <w:color w:val="06111C"/>
          <w:spacing w:val="-2"/>
          <w:kern w:val="0"/>
          <w:shd w:val="clear" w:color="auto" w:fill="FFFFFF"/>
        </w:rPr>
        <w:t>Solidarity</w:t>
      </w:r>
      <w:proofErr w:type="spellEnd"/>
      <w:r>
        <w:rPr>
          <w:rFonts w:ascii="Trebuchet MS" w:eastAsia="Times New Roman" w:hAnsi="Trebuchet MS"/>
          <w:bCs/>
          <w:iCs/>
          <w:color w:val="06111C"/>
          <w:spacing w:val="-2"/>
          <w:kern w:val="0"/>
          <w:shd w:val="clear" w:color="auto" w:fill="FFFFFF"/>
        </w:rPr>
        <w:t xml:space="preserve"> </w:t>
      </w:r>
      <w:proofErr w:type="spellStart"/>
      <w:r>
        <w:rPr>
          <w:rFonts w:ascii="Trebuchet MS" w:eastAsia="Times New Roman" w:hAnsi="Trebuchet MS"/>
          <w:bCs/>
          <w:iCs/>
          <w:color w:val="06111C"/>
          <w:spacing w:val="-2"/>
          <w:kern w:val="0"/>
          <w:shd w:val="clear" w:color="auto" w:fill="FFFFFF"/>
        </w:rPr>
        <w:t>Corps</w:t>
      </w:r>
      <w:proofErr w:type="spellEnd"/>
      <w:r>
        <w:rPr>
          <w:rFonts w:ascii="Trebuchet MS" w:eastAsia="Times New Roman" w:hAnsi="Trebuchet MS"/>
          <w:bCs/>
          <w:iCs/>
          <w:color w:val="06111C"/>
          <w:spacing w:val="-2"/>
          <w:kern w:val="0"/>
          <w:shd w:val="clear" w:color="auto" w:fill="FFFFFF"/>
        </w:rPr>
        <w:t xml:space="preserve">, а проекти, насочени към предоставяне на социални услуги — с Европейския социален фонд плюс (ESF+). Трансграничните инициативи намират своето приложение в </w:t>
      </w:r>
      <w:r>
        <w:rPr>
          <w:rFonts w:ascii="Trebuchet MS" w:eastAsia="Times New Roman" w:hAnsi="Trebuchet MS"/>
          <w:bCs/>
          <w:iCs/>
          <w:color w:val="06111C"/>
          <w:spacing w:val="-2"/>
          <w:kern w:val="0"/>
          <w:shd w:val="clear" w:color="auto" w:fill="FFFFFF"/>
        </w:rPr>
        <w:lastRenderedPageBreak/>
        <w:t xml:space="preserve">програмите </w:t>
      </w:r>
      <w:proofErr w:type="spellStart"/>
      <w:r>
        <w:rPr>
          <w:rFonts w:ascii="Trebuchet MS" w:eastAsia="Times New Roman" w:hAnsi="Trebuchet MS"/>
          <w:bCs/>
          <w:iCs/>
          <w:color w:val="06111C"/>
          <w:spacing w:val="-2"/>
          <w:kern w:val="0"/>
          <w:shd w:val="clear" w:color="auto" w:fill="FFFFFF"/>
        </w:rPr>
        <w:t>Interreg</w:t>
      </w:r>
      <w:proofErr w:type="spellEnd"/>
      <w:r>
        <w:rPr>
          <w:rFonts w:ascii="Trebuchet MS" w:eastAsia="Times New Roman" w:hAnsi="Trebuchet MS"/>
          <w:bCs/>
          <w:iCs/>
          <w:color w:val="06111C"/>
          <w:spacing w:val="-2"/>
          <w:kern w:val="0"/>
          <w:shd w:val="clear" w:color="auto" w:fill="FFFFFF"/>
        </w:rPr>
        <w:t xml:space="preserve">, докато дейности, свързани с права, ценности и гражданско участие, се реализират чрез CERV. Проекти в областта на културата се подкрепят от </w:t>
      </w:r>
      <w:proofErr w:type="spellStart"/>
      <w:r>
        <w:rPr>
          <w:rFonts w:ascii="Trebuchet MS" w:eastAsia="Times New Roman" w:hAnsi="Trebuchet MS"/>
          <w:bCs/>
          <w:iCs/>
          <w:color w:val="06111C"/>
          <w:spacing w:val="-2"/>
          <w:kern w:val="0"/>
          <w:shd w:val="clear" w:color="auto" w:fill="FFFFFF"/>
        </w:rPr>
        <w:t>Creative</w:t>
      </w:r>
      <w:proofErr w:type="spellEnd"/>
      <w:r>
        <w:rPr>
          <w:rFonts w:ascii="Trebuchet MS" w:eastAsia="Times New Roman" w:hAnsi="Trebuchet MS"/>
          <w:bCs/>
          <w:iCs/>
          <w:color w:val="06111C"/>
          <w:spacing w:val="-2"/>
          <w:kern w:val="0"/>
          <w:shd w:val="clear" w:color="auto" w:fill="FFFFFF"/>
        </w:rPr>
        <w:t xml:space="preserve"> </w:t>
      </w:r>
      <w:proofErr w:type="spellStart"/>
      <w:r>
        <w:rPr>
          <w:rFonts w:ascii="Trebuchet MS" w:eastAsia="Times New Roman" w:hAnsi="Trebuchet MS"/>
          <w:bCs/>
          <w:iCs/>
          <w:color w:val="06111C"/>
          <w:spacing w:val="-2"/>
          <w:kern w:val="0"/>
          <w:shd w:val="clear" w:color="auto" w:fill="FFFFFF"/>
        </w:rPr>
        <w:t>Europe</w:t>
      </w:r>
      <w:proofErr w:type="spellEnd"/>
      <w:r>
        <w:rPr>
          <w:rFonts w:ascii="Trebuchet MS" w:eastAsia="Times New Roman" w:hAnsi="Trebuchet MS"/>
          <w:bCs/>
          <w:iCs/>
          <w:color w:val="06111C"/>
          <w:spacing w:val="-2"/>
          <w:kern w:val="0"/>
          <w:shd w:val="clear" w:color="auto" w:fill="FFFFFF"/>
        </w:rPr>
        <w:t>, а инициативи, насочени към околната среда и устойчивото развитие, от програмата LIFE.</w:t>
      </w:r>
    </w:p>
    <w:p w14:paraId="5A842A88" w14:textId="77777777" w:rsidR="00641905" w:rsidRDefault="00641905" w:rsidP="00641905">
      <w:pPr>
        <w:shd w:val="clear" w:color="auto" w:fill="FFFFFF"/>
        <w:spacing w:after="0" w:line="240" w:lineRule="auto"/>
        <w:jc w:val="both"/>
        <w:rPr>
          <w:rFonts w:ascii="Trebuchet MS" w:eastAsia="Times New Roman" w:hAnsi="Trebuchet MS"/>
          <w:bCs/>
          <w:iCs/>
          <w:color w:val="06111C"/>
          <w:spacing w:val="-2"/>
          <w:kern w:val="0"/>
          <w:shd w:val="clear" w:color="auto" w:fill="FFFFFF"/>
        </w:rPr>
      </w:pPr>
      <w:r>
        <w:rPr>
          <w:rFonts w:ascii="Trebuchet MS" w:eastAsia="Times New Roman" w:hAnsi="Trebuchet MS"/>
          <w:bCs/>
          <w:iCs/>
          <w:color w:val="06111C"/>
          <w:spacing w:val="-2"/>
          <w:kern w:val="0"/>
          <w:shd w:val="clear" w:color="auto" w:fill="FFFFFF"/>
        </w:rPr>
        <w:t>Разнообразието от програми за финансиране на Европейския съюз предоставя широк спектър от възможности за неправителствени и религиозни организации, които работят в области като образование, социално включване, доброволчество, култура и устойчиво развитие. Всяка програма се характеризира със специфичен фокус, целеви групи и механизми на финансиране, което изисква внимателен анализ и информиран избор от страна на кандидатите.</w:t>
      </w:r>
    </w:p>
    <w:p w14:paraId="1B607767" w14:textId="77777777" w:rsidR="00641905" w:rsidRDefault="00641905" w:rsidP="00641905">
      <w:pPr>
        <w:shd w:val="clear" w:color="auto" w:fill="FFFFFF"/>
        <w:spacing w:after="0" w:line="240" w:lineRule="auto"/>
        <w:jc w:val="both"/>
        <w:rPr>
          <w:rFonts w:ascii="Trebuchet MS" w:eastAsia="Times New Roman" w:hAnsi="Trebuchet MS"/>
          <w:bCs/>
          <w:iCs/>
          <w:color w:val="06111C"/>
          <w:spacing w:val="-2"/>
          <w:kern w:val="0"/>
          <w:shd w:val="clear" w:color="auto" w:fill="FFFFFF"/>
        </w:rPr>
      </w:pPr>
      <w:r>
        <w:rPr>
          <w:rFonts w:ascii="Trebuchet MS" w:eastAsia="Times New Roman" w:hAnsi="Trebuchet MS"/>
          <w:bCs/>
          <w:iCs/>
          <w:color w:val="06111C"/>
          <w:spacing w:val="-2"/>
          <w:kern w:val="0"/>
          <w:shd w:val="clear" w:color="auto" w:fill="FFFFFF"/>
        </w:rPr>
        <w:t>Ключов фактор за успешно кандидатстване не е единствено наличието на добра идея, а способността тя да бъде адекватно съотнесена към подходящата програма, в съответствие с нейните цели, приоритети и изисквания. Неправилният избор на програма често води до отхвърляне на проектни предложения, независимо от тяхното качество.</w:t>
      </w:r>
    </w:p>
    <w:p w14:paraId="5ED175A5" w14:textId="77777777" w:rsidR="00641905" w:rsidRDefault="00641905" w:rsidP="00641905">
      <w:pPr>
        <w:shd w:val="clear" w:color="auto" w:fill="FFFFFF"/>
        <w:spacing w:after="0" w:line="240" w:lineRule="auto"/>
        <w:jc w:val="both"/>
        <w:rPr>
          <w:rFonts w:ascii="Trebuchet MS" w:eastAsia="Times New Roman" w:hAnsi="Trebuchet MS"/>
          <w:bCs/>
          <w:iCs/>
          <w:color w:val="06111C"/>
          <w:spacing w:val="-2"/>
          <w:kern w:val="0"/>
          <w:shd w:val="clear" w:color="auto" w:fill="FFFFFF"/>
        </w:rPr>
      </w:pPr>
      <w:r>
        <w:rPr>
          <w:rFonts w:ascii="Trebuchet MS" w:eastAsia="Times New Roman" w:hAnsi="Trebuchet MS"/>
          <w:bCs/>
          <w:iCs/>
          <w:color w:val="06111C"/>
          <w:spacing w:val="-2"/>
          <w:kern w:val="0"/>
          <w:shd w:val="clear" w:color="auto" w:fill="FFFFFF"/>
        </w:rPr>
        <w:t>В този контекст организациите следва да развият умения за ориентиране в различните източници на финансиране, да разпознават допустимите дейности и да оценяват собствените си възможности и капацитет. Подходът, основан на съпоставяне между идея, приоритет и програма, е от съществено значение за повишаване на успеваемостта.</w:t>
      </w:r>
    </w:p>
    <w:p w14:paraId="249B22DE" w14:textId="77777777" w:rsidR="00641905" w:rsidRDefault="00641905" w:rsidP="00641905">
      <w:pPr>
        <w:shd w:val="clear" w:color="auto" w:fill="FFFFFF"/>
        <w:spacing w:after="0" w:line="240" w:lineRule="auto"/>
        <w:jc w:val="both"/>
        <w:rPr>
          <w:rFonts w:ascii="Trebuchet MS" w:eastAsia="Times New Roman" w:hAnsi="Trebuchet MS"/>
          <w:bCs/>
          <w:iCs/>
          <w:color w:val="06111C"/>
          <w:spacing w:val="-2"/>
          <w:kern w:val="0"/>
          <w:shd w:val="clear" w:color="auto" w:fill="FFFFFF"/>
        </w:rPr>
      </w:pPr>
      <w:r>
        <w:rPr>
          <w:rFonts w:ascii="Trebuchet MS" w:eastAsia="Times New Roman" w:hAnsi="Trebuchet MS"/>
          <w:bCs/>
          <w:iCs/>
          <w:color w:val="06111C"/>
          <w:spacing w:val="-2"/>
          <w:kern w:val="0"/>
          <w:shd w:val="clear" w:color="auto" w:fill="FFFFFF"/>
        </w:rPr>
        <w:t>В заключение, ефективното използване на възможностите за финансиране от Европейския съюз изисква не само познаване на програмите, но и стратегическо мислене, което позволява планиране и реализиране на устойчиви и обществено значими инициативи.</w:t>
      </w:r>
    </w:p>
    <w:p w14:paraId="6E957603" w14:textId="77777777" w:rsidR="00641905" w:rsidRDefault="00641905" w:rsidP="00641905">
      <w:pPr>
        <w:shd w:val="clear" w:color="auto" w:fill="FFFFFF"/>
        <w:spacing w:after="0" w:line="240" w:lineRule="auto"/>
        <w:jc w:val="both"/>
        <w:rPr>
          <w:rFonts w:ascii="Trebuchet MS" w:eastAsia="Times New Roman" w:hAnsi="Trebuchet MS"/>
          <w:bCs/>
          <w:iCs/>
          <w:color w:val="06111C"/>
          <w:spacing w:val="-2"/>
          <w:kern w:val="0"/>
          <w:shd w:val="clear" w:color="auto" w:fill="FFFFFF"/>
        </w:rPr>
      </w:pPr>
    </w:p>
    <w:p w14:paraId="76DD4959" w14:textId="77777777" w:rsidR="00641905" w:rsidRDefault="00641905" w:rsidP="00641905">
      <w:pPr>
        <w:shd w:val="clear" w:color="auto" w:fill="FFFFFF"/>
        <w:spacing w:after="0" w:line="240" w:lineRule="auto"/>
        <w:jc w:val="both"/>
        <w:rPr>
          <w:rFonts w:ascii="Trebuchet MS" w:eastAsia="Times New Roman" w:hAnsi="Trebuchet MS"/>
          <w:bCs/>
          <w:iCs/>
          <w:spacing w:val="-2"/>
          <w:kern w:val="0"/>
          <w:shd w:val="clear" w:color="auto" w:fill="FFFFFF"/>
        </w:rPr>
      </w:pPr>
    </w:p>
    <w:p w14:paraId="321BBF77" w14:textId="77777777" w:rsidR="00ED61E3" w:rsidRDefault="00ED61E3"/>
    <w:sectPr w:rsidR="00ED61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4E74"/>
    <w:multiLevelType w:val="hybridMultilevel"/>
    <w:tmpl w:val="EF5AD97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 w15:restartNumberingAfterBreak="0">
    <w:nsid w:val="1A9E474C"/>
    <w:multiLevelType w:val="multilevel"/>
    <w:tmpl w:val="2EE4281A"/>
    <w:lvl w:ilvl="0">
      <w:start w:val="1"/>
      <w:numFmt w:val="decimal"/>
      <w:lvlText w:val="%1."/>
      <w:lvlJc w:val="left"/>
      <w:pPr>
        <w:ind w:left="644"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rPr>
        <w:b w:val="0"/>
      </w:rPr>
    </w:lvl>
    <w:lvl w:ilvl="3">
      <w:start w:val="1"/>
      <w:numFmt w:val="decimal"/>
      <w:isLgl/>
      <w:lvlText w:val="%1.%2.%3.%4."/>
      <w:lvlJc w:val="left"/>
      <w:pPr>
        <w:ind w:left="1440" w:hanging="1080"/>
      </w:pPr>
      <w:rPr>
        <w:b w:val="0"/>
      </w:rPr>
    </w:lvl>
    <w:lvl w:ilvl="4">
      <w:start w:val="1"/>
      <w:numFmt w:val="decimal"/>
      <w:isLgl/>
      <w:lvlText w:val="%1.%2.%3.%4.%5."/>
      <w:lvlJc w:val="left"/>
      <w:pPr>
        <w:ind w:left="1800" w:hanging="1440"/>
      </w:pPr>
      <w:rPr>
        <w:b w:val="0"/>
      </w:rPr>
    </w:lvl>
    <w:lvl w:ilvl="5">
      <w:start w:val="1"/>
      <w:numFmt w:val="decimal"/>
      <w:isLgl/>
      <w:lvlText w:val="%1.%2.%3.%4.%5.%6."/>
      <w:lvlJc w:val="left"/>
      <w:pPr>
        <w:ind w:left="1800" w:hanging="1440"/>
      </w:pPr>
      <w:rPr>
        <w:b w:val="0"/>
      </w:rPr>
    </w:lvl>
    <w:lvl w:ilvl="6">
      <w:start w:val="1"/>
      <w:numFmt w:val="decimal"/>
      <w:isLgl/>
      <w:lvlText w:val="%1.%2.%3.%4.%5.%6.%7."/>
      <w:lvlJc w:val="left"/>
      <w:pPr>
        <w:ind w:left="2160" w:hanging="1800"/>
      </w:pPr>
      <w:rPr>
        <w:b w:val="0"/>
      </w:rPr>
    </w:lvl>
    <w:lvl w:ilvl="7">
      <w:start w:val="1"/>
      <w:numFmt w:val="decimal"/>
      <w:isLgl/>
      <w:lvlText w:val="%1.%2.%3.%4.%5.%6.%7.%8."/>
      <w:lvlJc w:val="left"/>
      <w:pPr>
        <w:ind w:left="2520" w:hanging="2160"/>
      </w:pPr>
      <w:rPr>
        <w:b w:val="0"/>
      </w:rPr>
    </w:lvl>
    <w:lvl w:ilvl="8">
      <w:start w:val="1"/>
      <w:numFmt w:val="decimal"/>
      <w:isLgl/>
      <w:lvlText w:val="%1.%2.%3.%4.%5.%6.%7.%8.%9."/>
      <w:lvlJc w:val="left"/>
      <w:pPr>
        <w:ind w:left="2520" w:hanging="2160"/>
      </w:pPr>
      <w:rPr>
        <w:b w:val="0"/>
      </w:rPr>
    </w:lvl>
  </w:abstractNum>
  <w:abstractNum w:abstractNumId="2" w15:restartNumberingAfterBreak="0">
    <w:nsid w:val="3DC9038E"/>
    <w:multiLevelType w:val="hybridMultilevel"/>
    <w:tmpl w:val="FA8A420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 w15:restartNumberingAfterBreak="0">
    <w:nsid w:val="42ED3083"/>
    <w:multiLevelType w:val="hybridMultilevel"/>
    <w:tmpl w:val="75C8D58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6049231B"/>
    <w:multiLevelType w:val="hybridMultilevel"/>
    <w:tmpl w:val="7F9873E8"/>
    <w:lvl w:ilvl="0" w:tplc="04020001">
      <w:start w:val="1"/>
      <w:numFmt w:val="bullet"/>
      <w:lvlText w:val=""/>
      <w:lvlJc w:val="left"/>
      <w:pPr>
        <w:ind w:left="789" w:hanging="360"/>
      </w:pPr>
      <w:rPr>
        <w:rFonts w:ascii="Symbol" w:hAnsi="Symbol" w:hint="default"/>
      </w:rPr>
    </w:lvl>
    <w:lvl w:ilvl="1" w:tplc="04020003">
      <w:start w:val="1"/>
      <w:numFmt w:val="bullet"/>
      <w:lvlText w:val="o"/>
      <w:lvlJc w:val="left"/>
      <w:pPr>
        <w:ind w:left="1509" w:hanging="360"/>
      </w:pPr>
      <w:rPr>
        <w:rFonts w:ascii="Courier New" w:hAnsi="Courier New" w:cs="Courier New" w:hint="default"/>
      </w:rPr>
    </w:lvl>
    <w:lvl w:ilvl="2" w:tplc="04020005">
      <w:start w:val="1"/>
      <w:numFmt w:val="bullet"/>
      <w:lvlText w:val=""/>
      <w:lvlJc w:val="left"/>
      <w:pPr>
        <w:ind w:left="2229" w:hanging="360"/>
      </w:pPr>
      <w:rPr>
        <w:rFonts w:ascii="Wingdings" w:hAnsi="Wingdings" w:hint="default"/>
      </w:rPr>
    </w:lvl>
    <w:lvl w:ilvl="3" w:tplc="04020001">
      <w:start w:val="1"/>
      <w:numFmt w:val="bullet"/>
      <w:lvlText w:val=""/>
      <w:lvlJc w:val="left"/>
      <w:pPr>
        <w:ind w:left="2949" w:hanging="360"/>
      </w:pPr>
      <w:rPr>
        <w:rFonts w:ascii="Symbol" w:hAnsi="Symbol" w:hint="default"/>
      </w:rPr>
    </w:lvl>
    <w:lvl w:ilvl="4" w:tplc="04020003">
      <w:start w:val="1"/>
      <w:numFmt w:val="bullet"/>
      <w:lvlText w:val="o"/>
      <w:lvlJc w:val="left"/>
      <w:pPr>
        <w:ind w:left="3669" w:hanging="360"/>
      </w:pPr>
      <w:rPr>
        <w:rFonts w:ascii="Courier New" w:hAnsi="Courier New" w:cs="Courier New" w:hint="default"/>
      </w:rPr>
    </w:lvl>
    <w:lvl w:ilvl="5" w:tplc="04020005">
      <w:start w:val="1"/>
      <w:numFmt w:val="bullet"/>
      <w:lvlText w:val=""/>
      <w:lvlJc w:val="left"/>
      <w:pPr>
        <w:ind w:left="4389" w:hanging="360"/>
      </w:pPr>
      <w:rPr>
        <w:rFonts w:ascii="Wingdings" w:hAnsi="Wingdings" w:hint="default"/>
      </w:rPr>
    </w:lvl>
    <w:lvl w:ilvl="6" w:tplc="04020001">
      <w:start w:val="1"/>
      <w:numFmt w:val="bullet"/>
      <w:lvlText w:val=""/>
      <w:lvlJc w:val="left"/>
      <w:pPr>
        <w:ind w:left="5109" w:hanging="360"/>
      </w:pPr>
      <w:rPr>
        <w:rFonts w:ascii="Symbol" w:hAnsi="Symbol" w:hint="default"/>
      </w:rPr>
    </w:lvl>
    <w:lvl w:ilvl="7" w:tplc="04020003">
      <w:start w:val="1"/>
      <w:numFmt w:val="bullet"/>
      <w:lvlText w:val="o"/>
      <w:lvlJc w:val="left"/>
      <w:pPr>
        <w:ind w:left="5829" w:hanging="360"/>
      </w:pPr>
      <w:rPr>
        <w:rFonts w:ascii="Courier New" w:hAnsi="Courier New" w:cs="Courier New" w:hint="default"/>
      </w:rPr>
    </w:lvl>
    <w:lvl w:ilvl="8" w:tplc="04020005">
      <w:start w:val="1"/>
      <w:numFmt w:val="bullet"/>
      <w:lvlText w:val=""/>
      <w:lvlJc w:val="left"/>
      <w:pPr>
        <w:ind w:left="6549" w:hanging="360"/>
      </w:pPr>
      <w:rPr>
        <w:rFonts w:ascii="Wingdings" w:hAnsi="Wingdings" w:hint="default"/>
      </w:rPr>
    </w:lvl>
  </w:abstractNum>
  <w:num w:numId="1" w16cid:durableId="1238368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3765543">
    <w:abstractNumId w:val="4"/>
    <w:lvlOverride w:ilvl="0"/>
    <w:lvlOverride w:ilvl="1"/>
    <w:lvlOverride w:ilvl="2"/>
    <w:lvlOverride w:ilvl="3"/>
    <w:lvlOverride w:ilvl="4"/>
    <w:lvlOverride w:ilvl="5"/>
    <w:lvlOverride w:ilvl="6"/>
    <w:lvlOverride w:ilvl="7"/>
    <w:lvlOverride w:ilvl="8"/>
  </w:num>
  <w:num w:numId="3" w16cid:durableId="830557571">
    <w:abstractNumId w:val="2"/>
    <w:lvlOverride w:ilvl="0"/>
    <w:lvlOverride w:ilvl="1"/>
    <w:lvlOverride w:ilvl="2"/>
    <w:lvlOverride w:ilvl="3"/>
    <w:lvlOverride w:ilvl="4"/>
    <w:lvlOverride w:ilvl="5"/>
    <w:lvlOverride w:ilvl="6"/>
    <w:lvlOverride w:ilvl="7"/>
    <w:lvlOverride w:ilvl="8"/>
  </w:num>
  <w:num w:numId="4" w16cid:durableId="397901181">
    <w:abstractNumId w:val="0"/>
    <w:lvlOverride w:ilvl="0"/>
    <w:lvlOverride w:ilvl="1"/>
    <w:lvlOverride w:ilvl="2"/>
    <w:lvlOverride w:ilvl="3"/>
    <w:lvlOverride w:ilvl="4"/>
    <w:lvlOverride w:ilvl="5"/>
    <w:lvlOverride w:ilvl="6"/>
    <w:lvlOverride w:ilvl="7"/>
    <w:lvlOverride w:ilvl="8"/>
  </w:num>
  <w:num w:numId="5" w16cid:durableId="19280766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FF"/>
    <w:rsid w:val="000B0951"/>
    <w:rsid w:val="001E4EC4"/>
    <w:rsid w:val="004102F7"/>
    <w:rsid w:val="00641905"/>
    <w:rsid w:val="008C58FF"/>
    <w:rsid w:val="00ED61E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BDE3C-8979-4776-9712-02407818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1905"/>
    <w:pPr>
      <w:spacing w:line="276" w:lineRule="auto"/>
    </w:pPr>
    <w:rPr>
      <w:rFonts w:ascii="Calibri" w:eastAsia="Calibri" w:hAnsi="Calibri" w:cs="Times New Roman"/>
      <w:sz w:val="24"/>
      <w:szCs w:val="24"/>
      <w:lang w:eastAsia="bg-BG"/>
      <w14:ligatures w14:val="none"/>
    </w:rPr>
  </w:style>
  <w:style w:type="paragraph" w:styleId="1">
    <w:name w:val="heading 1"/>
    <w:basedOn w:val="a"/>
    <w:next w:val="a"/>
    <w:link w:val="10"/>
    <w:uiPriority w:val="9"/>
    <w:qFormat/>
    <w:rsid w:val="008C58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C58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C58F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C58F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C58F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C58F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C58F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C58F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C58F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8C58FF"/>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uiPriority w:val="9"/>
    <w:semiHidden/>
    <w:rsid w:val="008C58FF"/>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uiPriority w:val="9"/>
    <w:semiHidden/>
    <w:rsid w:val="008C58FF"/>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8C58FF"/>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8C58FF"/>
    <w:rPr>
      <w:rFonts w:eastAsiaTheme="majorEastAsia" w:cstheme="majorBidi"/>
      <w:color w:val="2F5496" w:themeColor="accent1" w:themeShade="BF"/>
    </w:rPr>
  </w:style>
  <w:style w:type="character" w:customStyle="1" w:styleId="60">
    <w:name w:val="Заглавие 6 Знак"/>
    <w:basedOn w:val="a0"/>
    <w:link w:val="6"/>
    <w:uiPriority w:val="9"/>
    <w:semiHidden/>
    <w:rsid w:val="008C58FF"/>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8C58FF"/>
    <w:rPr>
      <w:rFonts w:eastAsiaTheme="majorEastAsia" w:cstheme="majorBidi"/>
      <w:color w:val="595959" w:themeColor="text1" w:themeTint="A6"/>
    </w:rPr>
  </w:style>
  <w:style w:type="character" w:customStyle="1" w:styleId="80">
    <w:name w:val="Заглавие 8 Знак"/>
    <w:basedOn w:val="a0"/>
    <w:link w:val="8"/>
    <w:uiPriority w:val="9"/>
    <w:semiHidden/>
    <w:rsid w:val="008C58FF"/>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8C58FF"/>
    <w:rPr>
      <w:rFonts w:eastAsiaTheme="majorEastAsia" w:cstheme="majorBidi"/>
      <w:color w:val="272727" w:themeColor="text1" w:themeTint="D8"/>
    </w:rPr>
  </w:style>
  <w:style w:type="paragraph" w:styleId="a3">
    <w:name w:val="Title"/>
    <w:basedOn w:val="a"/>
    <w:next w:val="a"/>
    <w:link w:val="a4"/>
    <w:uiPriority w:val="10"/>
    <w:qFormat/>
    <w:rsid w:val="008C58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8C58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58FF"/>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8C58F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C58FF"/>
    <w:pPr>
      <w:spacing w:before="160"/>
      <w:jc w:val="center"/>
    </w:pPr>
    <w:rPr>
      <w:i/>
      <w:iCs/>
      <w:color w:val="404040" w:themeColor="text1" w:themeTint="BF"/>
    </w:rPr>
  </w:style>
  <w:style w:type="character" w:customStyle="1" w:styleId="a8">
    <w:name w:val="Цитат Знак"/>
    <w:basedOn w:val="a0"/>
    <w:link w:val="a7"/>
    <w:uiPriority w:val="29"/>
    <w:rsid w:val="008C58FF"/>
    <w:rPr>
      <w:i/>
      <w:iCs/>
      <w:color w:val="404040" w:themeColor="text1" w:themeTint="BF"/>
    </w:rPr>
  </w:style>
  <w:style w:type="paragraph" w:styleId="a9">
    <w:name w:val="List Paragraph"/>
    <w:basedOn w:val="a"/>
    <w:uiPriority w:val="34"/>
    <w:qFormat/>
    <w:rsid w:val="008C58FF"/>
    <w:pPr>
      <w:ind w:left="720"/>
      <w:contextualSpacing/>
    </w:pPr>
  </w:style>
  <w:style w:type="character" w:styleId="aa">
    <w:name w:val="Intense Emphasis"/>
    <w:basedOn w:val="a0"/>
    <w:uiPriority w:val="21"/>
    <w:qFormat/>
    <w:rsid w:val="008C58FF"/>
    <w:rPr>
      <w:i/>
      <w:iCs/>
      <w:color w:val="2F5496" w:themeColor="accent1" w:themeShade="BF"/>
    </w:rPr>
  </w:style>
  <w:style w:type="paragraph" w:styleId="ab">
    <w:name w:val="Intense Quote"/>
    <w:basedOn w:val="a"/>
    <w:next w:val="a"/>
    <w:link w:val="ac"/>
    <w:uiPriority w:val="30"/>
    <w:qFormat/>
    <w:rsid w:val="008C58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8C58FF"/>
    <w:rPr>
      <w:i/>
      <w:iCs/>
      <w:color w:val="2F5496" w:themeColor="accent1" w:themeShade="BF"/>
    </w:rPr>
  </w:style>
  <w:style w:type="character" w:styleId="ad">
    <w:name w:val="Intense Reference"/>
    <w:basedOn w:val="a0"/>
    <w:uiPriority w:val="32"/>
    <w:qFormat/>
    <w:rsid w:val="008C58FF"/>
    <w:rPr>
      <w:b/>
      <w:bCs/>
      <w:smallCaps/>
      <w:color w:val="2F5496" w:themeColor="accent1" w:themeShade="BF"/>
      <w:spacing w:val="5"/>
    </w:rPr>
  </w:style>
  <w:style w:type="character" w:styleId="ae">
    <w:name w:val="Hyperlink"/>
    <w:basedOn w:val="a0"/>
    <w:uiPriority w:val="99"/>
    <w:semiHidden/>
    <w:unhideWhenUsed/>
    <w:rsid w:val="006419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h.europa.eu/sites/default/files/inline-files/european_solidarity_corps_guide_2026_EN.%20pdf?utm_source" TargetMode="External"/><Relationship Id="rId13" Type="http://schemas.openxmlformats.org/officeDocument/2006/relationships/hyperlink" Target="https://mfe.gov.ro/" TargetMode="External"/><Relationship Id="rId18" Type="http://schemas.openxmlformats.org/officeDocument/2006/relationships/hyperlink" Target="https://culture.ec.europa.eu/creative-europe" TargetMode="External"/><Relationship Id="rId26" Type="http://schemas.openxmlformats.org/officeDocument/2006/relationships/hyperlink" Target="https://sf.mon.bg/?utm" TargetMode="External"/><Relationship Id="rId3" Type="http://schemas.openxmlformats.org/officeDocument/2006/relationships/settings" Target="settings.xml"/><Relationship Id="rId21" Type="http://schemas.openxmlformats.org/officeDocument/2006/relationships/hyperlink" Target="https://www.interregeurope.eu/" TargetMode="External"/><Relationship Id="rId7" Type="http://schemas.openxmlformats.org/officeDocument/2006/relationships/hyperlink" Target="https://youth.europa.eu/_en" TargetMode="External"/><Relationship Id="rId12" Type="http://schemas.openxmlformats.org/officeDocument/2006/relationships/hyperlink" Target="https://esf.bg/wps/portal/program-hrd/home" TargetMode="External"/><Relationship Id="rId17" Type="http://schemas.openxmlformats.org/officeDocument/2006/relationships/hyperlink" Target="https://ec.europa.eu/info/funding-tenders/opportunities/portal/screen/home" TargetMode="External"/><Relationship Id="rId25" Type="http://schemas.openxmlformats.org/officeDocument/2006/relationships/hyperlink" Target="https://esf.bg/wps/portal/program-hrd/home" TargetMode="External"/><Relationship Id="rId2" Type="http://schemas.openxmlformats.org/officeDocument/2006/relationships/styles" Target="styles.xml"/><Relationship Id="rId16" Type="http://schemas.openxmlformats.org/officeDocument/2006/relationships/hyperlink" Target="https://ec.europa.eu/info/funding-tenders/opportunities/portal/screen/home" TargetMode="External"/><Relationship Id="rId20" Type="http://schemas.openxmlformats.org/officeDocument/2006/relationships/hyperlink" Target="https://research-and-innovation.ec.europa.eu/funding/funding-opportunities/funding-programmes-and-open-calls/horizon-europe_e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rasmus-plus.ec.europa.eu/about-erasmus/contacts/national-agencies" TargetMode="External"/><Relationship Id="rId11" Type="http://schemas.openxmlformats.org/officeDocument/2006/relationships/hyperlink" Target="https://european-social-fund-plus.ec.europa.eu/en" TargetMode="External"/><Relationship Id="rId24" Type="http://schemas.openxmlformats.org/officeDocument/2006/relationships/hyperlink" Target="https://www.mzh.government.bg/bg/" TargetMode="External"/><Relationship Id="rId5" Type="http://schemas.openxmlformats.org/officeDocument/2006/relationships/hyperlink" Target="https://erasmus-plus.ec.europa.eu/erasmus-programme-guide?utm_source" TargetMode="External"/><Relationship Id="rId15" Type="http://schemas.openxmlformats.org/officeDocument/2006/relationships/hyperlink" Target="https://ec.europa.eu/info/funding-tenders/opportunities/portal/screen/programmes/cerv" TargetMode="External"/><Relationship Id="rId23" Type="http://schemas.openxmlformats.org/officeDocument/2006/relationships/hyperlink" Target="https://digital-strategy.ec.europa.eu/en/activities/digital-programme" TargetMode="External"/><Relationship Id="rId28" Type="http://schemas.openxmlformats.org/officeDocument/2006/relationships/fontTable" Target="fontTable.xml"/><Relationship Id="rId10" Type="http://schemas.openxmlformats.org/officeDocument/2006/relationships/hyperlink" Target="https://interregviarobg.eu/bg/obshcha-informatsiya" TargetMode="External"/><Relationship Id="rId19" Type="http://schemas.openxmlformats.org/officeDocument/2006/relationships/hyperlink" Target="https://ec.europa.eu/info/funding-tenders/opportunities/portal/screen/home" TargetMode="External"/><Relationship Id="rId4" Type="http://schemas.openxmlformats.org/officeDocument/2006/relationships/webSettings" Target="webSettings.xml"/><Relationship Id="rId9" Type="http://schemas.openxmlformats.org/officeDocument/2006/relationships/hyperlink" Target="https://jems-robg.mdlpa.ro/no-auth/login?ref=%2Fapp%2Fdashboard" TargetMode="External"/><Relationship Id="rId14" Type="http://schemas.openxmlformats.org/officeDocument/2006/relationships/hyperlink" Target="https://ec.europa.eu/info/funding-tenders/opportunities/portal/screen/home" TargetMode="External"/><Relationship Id="rId22" Type="http://schemas.openxmlformats.org/officeDocument/2006/relationships/hyperlink" Target="https://ipa-bgrs.mrrb.bg/" TargetMode="External"/><Relationship Id="rId27" Type="http://schemas.openxmlformats.org/officeDocument/2006/relationships/hyperlink" Target="https://interreg-danube.eu/" TargetMode="Externa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6808</Words>
  <Characters>38806</Characters>
  <Application>Microsoft Office Word</Application>
  <DocSecurity>0</DocSecurity>
  <Lines>323</Lines>
  <Paragraphs>91</Paragraphs>
  <ScaleCrop>false</ScaleCrop>
  <Company/>
  <LinksUpToDate>false</LinksUpToDate>
  <CharactersWithSpaces>45523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Lazarinka Andreeva</dc:creator>
  <cp:keywords/>
  <dc:description/>
  <cp:lastModifiedBy>Lazarinka Andreeva</cp:lastModifiedBy>
  <cp:revision>2</cp:revision>
  <dcterms:created xsi:type="dcterms:W3CDTF">2026-08-20T06:31:00Z</dcterms:created>
  <dcterms:modified xsi:type="dcterms:W3CDTF">2026-08-20T06:31:00Z</dcterms:modified>
</cp:coreProperties>
</file>