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11115" w14:textId="77777777" w:rsidR="00FE78B6" w:rsidRDefault="00FE78B6" w:rsidP="00FE78B6">
      <w:pPr>
        <w:pStyle w:val="Heading1"/>
        <w:spacing w:before="0" w:after="0" w:line="240" w:lineRule="auto"/>
        <w:rPr>
          <w:rFonts w:ascii="Calibri Light" w:eastAsia="Calibri" w:hAnsi="Calibri Light"/>
          <w:color w:val="154E81"/>
        </w:rPr>
      </w:pPr>
      <w:bookmarkStart w:id="0" w:name="_Toc227593274"/>
      <w:r>
        <w:rPr>
          <w:rFonts w:ascii="Trebuchet MS" w:eastAsia="Calibri" w:hAnsi="Trebuchet MS"/>
          <w:b/>
          <w:bCs/>
          <w:color w:val="154E81"/>
          <w:sz w:val="28"/>
          <w:szCs w:val="28"/>
        </w:rPr>
        <w:t>УРОК 7: ПРАКТИЧЕСКИ МОДЕЛ ЗА ПЪРВОНАЧАЛЕН АНАЛИЗ НА ПОКАНИ</w:t>
      </w:r>
      <w:bookmarkEnd w:id="0"/>
    </w:p>
    <w:p w14:paraId="42391B62" w14:textId="77777777" w:rsidR="00FE78B6" w:rsidRDefault="00FE78B6" w:rsidP="00FE78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hAnsi="Trebuchet MS"/>
          <w:b/>
          <w:bCs/>
          <w:color w:val="154E81"/>
          <w:u w:val="single"/>
        </w:rPr>
      </w:pPr>
      <w:r>
        <w:rPr>
          <w:rFonts w:ascii="Trebuchet MS" w:hAnsi="Trebuchet MS"/>
          <w:b/>
          <w:bCs/>
          <w:color w:val="154E81"/>
          <w:u w:val="single"/>
        </w:rPr>
        <w:t>ЗАЩО Е ТРУДНО ДА СЕ ЧЕТАТ ПОКАНИ</w:t>
      </w:r>
    </w:p>
    <w:p w14:paraId="23DC66C1" w14:textId="77777777" w:rsidR="00FE78B6" w:rsidRDefault="00FE78B6" w:rsidP="00FE78B6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За начинаещите кандидати отварянето на реална покана често е объркващо преживяване.</w:t>
      </w:r>
    </w:p>
    <w:p w14:paraId="595EC005" w14:textId="77777777" w:rsidR="00FE78B6" w:rsidRDefault="00FE78B6" w:rsidP="00FE78B6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Документите:</w:t>
      </w:r>
    </w:p>
    <w:p w14:paraId="22F96BB7" w14:textId="77777777" w:rsidR="00FE78B6" w:rsidRDefault="00FE78B6" w:rsidP="00FE78B6">
      <w:pPr>
        <w:numPr>
          <w:ilvl w:val="0"/>
          <w:numId w:val="2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са дълги (понякога десетки страници);</w:t>
      </w:r>
    </w:p>
    <w:p w14:paraId="55A61489" w14:textId="77777777" w:rsidR="00FE78B6" w:rsidRDefault="00FE78B6" w:rsidP="00FE78B6">
      <w:pPr>
        <w:numPr>
          <w:ilvl w:val="0"/>
          <w:numId w:val="2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използват специфична терминология;</w:t>
      </w:r>
    </w:p>
    <w:p w14:paraId="5F6EA96E" w14:textId="77777777" w:rsidR="00FE78B6" w:rsidRDefault="00FE78B6" w:rsidP="00FE78B6">
      <w:pPr>
        <w:numPr>
          <w:ilvl w:val="0"/>
          <w:numId w:val="2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съдържат много детайли;</w:t>
      </w:r>
    </w:p>
    <w:p w14:paraId="3366BCC0" w14:textId="77777777" w:rsidR="00FE78B6" w:rsidRDefault="00FE78B6" w:rsidP="00FE78B6">
      <w:pPr>
        <w:numPr>
          <w:ilvl w:val="0"/>
          <w:numId w:val="2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не са написани като учебен текст, а като административен документ.</w:t>
      </w:r>
    </w:p>
    <w:p w14:paraId="0763D8C9" w14:textId="77777777" w:rsidR="00FE78B6" w:rsidRDefault="00FE78B6" w:rsidP="00FE78B6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Много хора реагират по един от два начина:</w:t>
      </w:r>
    </w:p>
    <w:p w14:paraId="1C8051FE" w14:textId="77777777" w:rsidR="00FE78B6" w:rsidRDefault="00FE78B6" w:rsidP="00FE78B6">
      <w:pPr>
        <w:numPr>
          <w:ilvl w:val="0"/>
          <w:numId w:val="3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или се отказват, защото им изглежда твърде сложно;</w:t>
      </w:r>
    </w:p>
    <w:p w14:paraId="01D62EE1" w14:textId="77777777" w:rsidR="00FE78B6" w:rsidRDefault="00FE78B6" w:rsidP="00FE78B6">
      <w:pPr>
        <w:numPr>
          <w:ilvl w:val="0"/>
          <w:numId w:val="3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или започват да четат хаотично и пропускат най-важното.</w:t>
      </w:r>
    </w:p>
    <w:p w14:paraId="10D12AA8" w14:textId="77777777" w:rsidR="00FE78B6" w:rsidRDefault="00FE78B6" w:rsidP="00FE78B6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Важно е да се подчертае, че:</w:t>
      </w:r>
    </w:p>
    <w:p w14:paraId="435E3C5C" w14:textId="77777777" w:rsidR="00FE78B6" w:rsidRDefault="00FE78B6" w:rsidP="00FE78B6">
      <w:pPr>
        <w:numPr>
          <w:ilvl w:val="0"/>
          <w:numId w:val="4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не е нужно да четете всичко наведнъж, нужно е да знаете какво да търсите.</w:t>
      </w:r>
    </w:p>
    <w:p w14:paraId="113E714A" w14:textId="77777777" w:rsidR="00FE78B6" w:rsidRDefault="00FE78B6" w:rsidP="00FE78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hAnsi="Trebuchet MS"/>
          <w:b/>
          <w:bCs/>
          <w:color w:val="154E81"/>
          <w:u w:val="single"/>
        </w:rPr>
      </w:pPr>
      <w:r>
        <w:rPr>
          <w:rFonts w:ascii="Trebuchet MS" w:hAnsi="Trebuchet MS"/>
          <w:b/>
          <w:bCs/>
          <w:color w:val="154E81"/>
          <w:u w:val="single"/>
        </w:rPr>
        <w:t>КАКВО ДА ТЪРСИМ В ЕДНА ПОКАНА</w:t>
      </w:r>
    </w:p>
    <w:p w14:paraId="238CCB86" w14:textId="77777777" w:rsidR="00FE78B6" w:rsidRDefault="00FE78B6" w:rsidP="00FE78B6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 първоначално запознаване с покана е важно да се идентифицират няколко основни елемента:</w:t>
      </w:r>
    </w:p>
    <w:p w14:paraId="6B688A86" w14:textId="77777777" w:rsidR="00FE78B6" w:rsidRDefault="00FE78B6" w:rsidP="00FE78B6">
      <w:pPr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каква е целта на поканата;</w:t>
      </w:r>
    </w:p>
    <w:p w14:paraId="24973563" w14:textId="77777777" w:rsidR="00FE78B6" w:rsidRDefault="00FE78B6" w:rsidP="00FE78B6">
      <w:pPr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какъв проблем адресира;</w:t>
      </w:r>
    </w:p>
    <w:p w14:paraId="57E7D06F" w14:textId="77777777" w:rsidR="00FE78B6" w:rsidRDefault="00FE78B6" w:rsidP="00FE78B6">
      <w:pPr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какви дейности се финансират;</w:t>
      </w:r>
    </w:p>
    <w:p w14:paraId="73341860" w14:textId="77777777" w:rsidR="00FE78B6" w:rsidRDefault="00FE78B6" w:rsidP="00FE78B6">
      <w:pPr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кои организации могат да кандидатстват;</w:t>
      </w:r>
    </w:p>
    <w:p w14:paraId="309803DA" w14:textId="77777777" w:rsidR="00FE78B6" w:rsidRDefault="00FE78B6" w:rsidP="00FE78B6">
      <w:pPr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какви са финансовите параметри;</w:t>
      </w:r>
    </w:p>
    <w:p w14:paraId="52D8881A" w14:textId="77777777" w:rsidR="00FE78B6" w:rsidRDefault="00FE78B6" w:rsidP="00FE78B6">
      <w:pPr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какви са сроковете.</w:t>
      </w:r>
    </w:p>
    <w:p w14:paraId="57EA3957" w14:textId="77777777" w:rsidR="00FE78B6" w:rsidRDefault="00FE78B6" w:rsidP="00FE78B6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color w:val="154E81"/>
          <w:kern w:val="0"/>
        </w:rPr>
      </w:pPr>
      <w:r>
        <w:rPr>
          <w:rFonts w:ascii="Trebuchet MS" w:eastAsia="Times New Roman" w:hAnsi="Trebuchet MS"/>
          <w:kern w:val="0"/>
        </w:rPr>
        <w:t>Тези елементи дават бърза ориентация дали поканата има потенциал да бъде подходяща.</w:t>
      </w:r>
    </w:p>
    <w:p w14:paraId="4FA6AE06" w14:textId="77777777" w:rsidR="00FE78B6" w:rsidRDefault="00FE78B6" w:rsidP="00FE78B6">
      <w:pPr>
        <w:numPr>
          <w:ilvl w:val="0"/>
          <w:numId w:val="1"/>
        </w:numPr>
        <w:spacing w:after="0" w:line="360" w:lineRule="auto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hAnsi="Trebuchet MS"/>
          <w:b/>
          <w:bCs/>
          <w:color w:val="154E81"/>
          <w:u w:val="single"/>
        </w:rPr>
        <w:t>ПРАКТИЧЕСКИ МОДЕЛ ЗА ПЪРВОНАЧАЛЕН АНАЛИЗ</w:t>
      </w:r>
    </w:p>
    <w:p w14:paraId="486EF9D7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За да се избегне объркване, анализът на покана може да се извърши чрез последователни стъпки:</w:t>
      </w:r>
    </w:p>
    <w:p w14:paraId="647388E4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3F578039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Стъпка 1: Проверка на допустимостта</w:t>
      </w:r>
    </w:p>
    <w:p w14:paraId="1ADEEC0B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Организацията трябва да провери дали има право да кандидатства – вид организация, държава, изисквания за партньорство.</w:t>
      </w:r>
    </w:p>
    <w:p w14:paraId="75121399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5186B7DC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Стъпка 2: Съответствие на идеята</w:t>
      </w:r>
    </w:p>
    <w:p w14:paraId="384866B0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Преценява се дали проектната идея съответства на целите и приоритетите на поканата.</w:t>
      </w:r>
    </w:p>
    <w:p w14:paraId="4C9839C4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06ECE727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Стъпка 3: Съответствие на дейностите</w:t>
      </w:r>
    </w:p>
    <w:p w14:paraId="496C7991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Сравняват се планираните дейности с допустимите дейности по поканата.</w:t>
      </w:r>
    </w:p>
    <w:p w14:paraId="61808491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1A6AA72A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Стъпка 4: Капацитет на организацията</w:t>
      </w:r>
    </w:p>
    <w:p w14:paraId="089BACBC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Оценява се дали организацията има ресурси, партньори и време да реализира проекта.</w:t>
      </w:r>
    </w:p>
    <w:p w14:paraId="573E5DCB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0EA1291D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Този модел позволява бърза и обоснована първоначална преценка.</w:t>
      </w:r>
    </w:p>
    <w:p w14:paraId="57B2F462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07562BF2" w14:textId="77777777" w:rsidR="00FE78B6" w:rsidRDefault="00FE78B6" w:rsidP="00FE78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Calibri"/>
          <w:b/>
          <w:iCs/>
          <w:color w:val="154E81"/>
          <w:spacing w:val="-2"/>
          <w:kern w:val="0"/>
          <w:u w:val="single"/>
          <w:shd w:val="clear" w:color="auto" w:fill="FFFFFF"/>
        </w:rPr>
      </w:pPr>
      <w:r>
        <w:rPr>
          <w:rFonts w:ascii="Trebuchet MS" w:eastAsia="Times New Roman" w:hAnsi="Trebuchet MS" w:cs="Calibri"/>
          <w:b/>
          <w:iCs/>
          <w:color w:val="154E81"/>
          <w:spacing w:val="-2"/>
          <w:kern w:val="0"/>
          <w:u w:val="single"/>
          <w:shd w:val="clear" w:color="auto" w:fill="FFFFFF"/>
        </w:rPr>
        <w:t>КЛЮЧОВИ ВЪПРОСИ ПРИ ЧЕТЕНЕ НА ПОКАНА</w:t>
      </w:r>
    </w:p>
    <w:p w14:paraId="0FE09C50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36D961C9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При анализа на всяка покана е полезно да се зададат няколко основни въпроса:</w:t>
      </w:r>
    </w:p>
    <w:p w14:paraId="4C8922C0" w14:textId="77777777" w:rsidR="00FE78B6" w:rsidRDefault="00FE78B6" w:rsidP="00FE78B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Допустими ли сме като организация?</w:t>
      </w:r>
    </w:p>
    <w:p w14:paraId="44070B92" w14:textId="77777777" w:rsidR="00FE78B6" w:rsidRDefault="00FE78B6" w:rsidP="00FE78B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 xml:space="preserve"> Съвпада ли идеята ни с целите на поканата?</w:t>
      </w:r>
    </w:p>
    <w:p w14:paraId="5D53C87D" w14:textId="77777777" w:rsidR="00FE78B6" w:rsidRDefault="00FE78B6" w:rsidP="00FE78B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Отговарят ли дейностите ни на допустимите дейности?</w:t>
      </w:r>
    </w:p>
    <w:p w14:paraId="723F4530" w14:textId="77777777" w:rsidR="00FE78B6" w:rsidRDefault="00FE78B6" w:rsidP="00FE78B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Имаме ли необходимите партньори?</w:t>
      </w:r>
    </w:p>
    <w:p w14:paraId="004E4438" w14:textId="77777777" w:rsidR="00FE78B6" w:rsidRDefault="00FE78B6" w:rsidP="00FE78B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Имаме ли капацитет да реализираме проекта?</w:t>
      </w:r>
    </w:p>
    <w:p w14:paraId="559BBC88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Тези въпроси помагат да се избегнат прибързани решения и насочват вниманието към същественото.</w:t>
      </w:r>
    </w:p>
    <w:p w14:paraId="529CA358" w14:textId="77777777" w:rsidR="00FE78B6" w:rsidRDefault="00FE78B6" w:rsidP="00FE78B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color w:val="154E81"/>
          <w:spacing w:val="-2"/>
          <w:kern w:val="0"/>
          <w:shd w:val="clear" w:color="auto" w:fill="FFFFFF"/>
        </w:rPr>
      </w:pPr>
    </w:p>
    <w:p w14:paraId="5E334B72" w14:textId="77777777" w:rsidR="00FE78B6" w:rsidRDefault="00FE78B6" w:rsidP="00FE78B6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rPr>
          <w:rFonts w:ascii="Trebuchet MS" w:eastAsia="Times New Roman" w:hAnsi="Trebuchet MS"/>
          <w:b/>
          <w:color w:val="154E81"/>
          <w:kern w:val="0"/>
          <w:u w:val="single"/>
        </w:rPr>
      </w:pPr>
      <w:r>
        <w:rPr>
          <w:rFonts w:ascii="Trebuchet MS" w:eastAsia="Times New Roman" w:hAnsi="Trebuchet MS"/>
          <w:b/>
          <w:color w:val="154E81"/>
          <w:kern w:val="0"/>
          <w:u w:val="single"/>
        </w:rPr>
        <w:t>ЧЕСТИ ГРЕШКИ ПРИ АНАЛИЗ НА ПОКАНИ (РАЗШИРЕНО)</w:t>
      </w:r>
    </w:p>
    <w:p w14:paraId="70E24481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/>
          <w:color w:val="004F88"/>
          <w:kern w:val="0"/>
        </w:rPr>
      </w:pPr>
    </w:p>
    <w:p w14:paraId="336AFEE0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практиката често се наблюдават следните грешки:</w:t>
      </w:r>
    </w:p>
    <w:p w14:paraId="2AC0B483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четене само на заглавието;</w:t>
      </w:r>
    </w:p>
    <w:p w14:paraId="3DD9D6F6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игнориране на допустимостта;</w:t>
      </w:r>
    </w:p>
    <w:p w14:paraId="69187F3F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фокус само върху бюджета;</w:t>
      </w:r>
    </w:p>
    <w:p w14:paraId="6BD67298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пренебрегване на изискванията за партньорство;</w:t>
      </w:r>
    </w:p>
    <w:p w14:paraId="1CF721D7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опит за „нагласяване“ на идея към неподходяща покана.</w:t>
      </w:r>
    </w:p>
    <w:p w14:paraId="4FD9E8E1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Тези грешки водят до загуба на време и ресурси.</w:t>
      </w:r>
    </w:p>
    <w:p w14:paraId="75C7ED48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851" w:right="3"/>
        <w:rPr>
          <w:rFonts w:ascii="Trebuchet MS" w:eastAsia="Times New Roman" w:hAnsi="Trebuchet MS"/>
          <w:bCs/>
          <w:color w:val="154E81"/>
          <w:kern w:val="0"/>
        </w:rPr>
      </w:pPr>
    </w:p>
    <w:p w14:paraId="11E6D26E" w14:textId="77777777" w:rsidR="00FE78B6" w:rsidRDefault="00FE78B6" w:rsidP="00FE78B6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left="851" w:right="3"/>
        <w:rPr>
          <w:rFonts w:ascii="Trebuchet MS" w:eastAsia="Times New Roman" w:hAnsi="Trebuchet MS"/>
          <w:bCs/>
          <w:color w:val="154E81"/>
          <w:kern w:val="0"/>
          <w:u w:val="single"/>
        </w:rPr>
      </w:pPr>
      <w:r>
        <w:rPr>
          <w:rFonts w:ascii="Trebuchet MS" w:eastAsia="Times New Roman" w:hAnsi="Trebuchet MS"/>
          <w:b/>
          <w:color w:val="154E81"/>
          <w:kern w:val="0"/>
          <w:u w:val="single"/>
        </w:rPr>
        <w:t xml:space="preserve"> ОТ АНАЛИЗА КЪМ РЕШЕНИЕТО </w:t>
      </w:r>
    </w:p>
    <w:p w14:paraId="5F236F65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Cs/>
          <w:color w:val="004F88"/>
          <w:kern w:val="0"/>
        </w:rPr>
      </w:pPr>
    </w:p>
    <w:p w14:paraId="6D7560B0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След първоначалния анализ следва да се вземе решение. Обикновено има три възможности:</w:t>
      </w:r>
    </w:p>
    <w:p w14:paraId="4B0B2876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Кандидатстваме – когато има ясно съответствие;</w:t>
      </w:r>
    </w:p>
    <w:p w14:paraId="061C1FB2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Не кандидатстваме – когато има съществено несъответствие;</w:t>
      </w:r>
    </w:p>
    <w:p w14:paraId="7FF8A78F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• Адаптираме идеята – когато има потенциал, но е необходимо преформулиране.</w:t>
      </w:r>
    </w:p>
    <w:p w14:paraId="01410620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Умението да се вземе правилно решение е ключово за успешното участие в програми за финансиране.</w:t>
      </w:r>
    </w:p>
    <w:p w14:paraId="36949FC4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rPr>
          <w:rFonts w:ascii="Trebuchet MS" w:eastAsia="Times New Roman" w:hAnsi="Trebuchet MS"/>
          <w:bCs/>
          <w:kern w:val="0"/>
        </w:rPr>
      </w:pPr>
    </w:p>
    <w:p w14:paraId="7EC1E723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 xml:space="preserve">          ЗАКЛЮЧЕНИЕ</w:t>
      </w:r>
    </w:p>
    <w:p w14:paraId="6FCD1336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rPr>
          <w:rFonts w:ascii="Trebuchet MS" w:eastAsia="Times New Roman" w:hAnsi="Trebuchet MS"/>
          <w:bCs/>
          <w:kern w:val="0"/>
        </w:rPr>
      </w:pPr>
    </w:p>
    <w:p w14:paraId="2966F53B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Четенето на покани за финансиране не е просто административна дейност, а аналитичен процес, който изисква внимание, логическо мислене и реалистична преценка.</w:t>
      </w:r>
    </w:p>
    <w:p w14:paraId="6DDAA096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Не е достатъчно да има добра идея. Необходимо е тя да съответства на изискванията на конкретната покана.</w:t>
      </w:r>
    </w:p>
    <w:p w14:paraId="774F979F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Умението да се разпознава това съответствие е основа за успешно кандидатстване и ефективно участие в програми за финансиране.</w:t>
      </w:r>
    </w:p>
    <w:p w14:paraId="437895CA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Cs/>
          <w:kern w:val="0"/>
        </w:rPr>
      </w:pPr>
    </w:p>
    <w:p w14:paraId="041736EF" w14:textId="77777777" w:rsidR="00FE78B6" w:rsidRDefault="00FE78B6" w:rsidP="00FE78B6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rPr>
          <w:rFonts w:ascii="Trebuchet MS" w:eastAsia="Times New Roman" w:hAnsi="Trebuchet MS"/>
          <w:bCs/>
          <w:kern w:val="0"/>
        </w:rPr>
      </w:pPr>
    </w:p>
    <w:p w14:paraId="56E88B3A" w14:textId="77777777" w:rsidR="00ED61E3" w:rsidRDefault="00ED61E3"/>
    <w:sectPr w:rsidR="00ED6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4F2"/>
    <w:multiLevelType w:val="hybridMultilevel"/>
    <w:tmpl w:val="7E1EAE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0A15"/>
    <w:multiLevelType w:val="hybridMultilevel"/>
    <w:tmpl w:val="3D3C937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D1C63"/>
    <w:multiLevelType w:val="hybridMultilevel"/>
    <w:tmpl w:val="891A342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CF08C3"/>
    <w:multiLevelType w:val="hybridMultilevel"/>
    <w:tmpl w:val="C12663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85871"/>
    <w:multiLevelType w:val="hybridMultilevel"/>
    <w:tmpl w:val="612C5B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120C1"/>
    <w:multiLevelType w:val="hybridMultilevel"/>
    <w:tmpl w:val="99DE49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9265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683265">
    <w:abstractNumId w:val="3"/>
  </w:num>
  <w:num w:numId="3" w16cid:durableId="1571962040">
    <w:abstractNumId w:val="5"/>
  </w:num>
  <w:num w:numId="4" w16cid:durableId="1698197913">
    <w:abstractNumId w:val="0"/>
  </w:num>
  <w:num w:numId="5" w16cid:durableId="1259749289">
    <w:abstractNumId w:val="2"/>
  </w:num>
  <w:num w:numId="6" w16cid:durableId="963317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43C"/>
    <w:rsid w:val="000B0951"/>
    <w:rsid w:val="001C4002"/>
    <w:rsid w:val="001E4EC4"/>
    <w:rsid w:val="0031443C"/>
    <w:rsid w:val="004102F7"/>
    <w:rsid w:val="00AF7E94"/>
    <w:rsid w:val="00ED61E3"/>
    <w:rsid w:val="00F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0621F-FBA3-45AF-96AE-9F4CBB16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8B6"/>
    <w:pPr>
      <w:spacing w:line="276" w:lineRule="auto"/>
    </w:pPr>
    <w:rPr>
      <w:rFonts w:ascii="Calibri" w:eastAsia="Calibri" w:hAnsi="Calibri" w:cs="Times New Roman"/>
      <w:sz w:val="24"/>
      <w:szCs w:val="24"/>
      <w:lang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4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4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4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4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4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4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4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4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4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4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4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Lazarinka Andreeva</dc:creator>
  <cp:keywords/>
  <dc:description/>
  <cp:lastModifiedBy>Lazarinka Andreeva</cp:lastModifiedBy>
  <cp:revision>3</cp:revision>
  <dcterms:created xsi:type="dcterms:W3CDTF">2026-08-20T06:34:00Z</dcterms:created>
  <dcterms:modified xsi:type="dcterms:W3CDTF">2026-08-20T17:38:00Z</dcterms:modified>
</cp:coreProperties>
</file>