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458B" w14:textId="77777777" w:rsidR="00F36B2D" w:rsidRDefault="00F36B2D" w:rsidP="00F36B2D">
      <w:pPr>
        <w:pStyle w:val="1"/>
        <w:rPr>
          <w:rFonts w:ascii="Trebuchet MS" w:eastAsia="Calibri" w:hAnsi="Trebuchet MS"/>
          <w:b/>
          <w:bCs/>
          <w:color w:val="154E81"/>
          <w:sz w:val="28"/>
          <w:szCs w:val="28"/>
        </w:rPr>
      </w:pPr>
      <w:bookmarkStart w:id="0" w:name="_Toc227593275"/>
      <w:r>
        <w:rPr>
          <w:rFonts w:ascii="Trebuchet MS" w:eastAsia="Calibri" w:hAnsi="Trebuchet MS"/>
          <w:b/>
          <w:bCs/>
          <w:color w:val="154E81"/>
          <w:sz w:val="28"/>
          <w:szCs w:val="28"/>
        </w:rPr>
        <w:t>УРОК 8: СТРУКТУРА НА ПОКАНА И НАСОКИ ЗА КАНДИДАТСТВАНЕ</w:t>
      </w:r>
      <w:bookmarkEnd w:id="0"/>
      <w:r>
        <w:rPr>
          <w:rFonts w:ascii="Trebuchet MS" w:eastAsia="Calibri" w:hAnsi="Trebuchet MS"/>
          <w:b/>
          <w:bCs/>
          <w:color w:val="154E81"/>
          <w:sz w:val="28"/>
          <w:szCs w:val="28"/>
        </w:rPr>
        <w:t xml:space="preserve"> </w:t>
      </w:r>
    </w:p>
    <w:p w14:paraId="7BFA85B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color w:val="154E81"/>
          <w:kern w:val="0"/>
        </w:rPr>
      </w:pPr>
    </w:p>
    <w:p w14:paraId="54E89B5D" w14:textId="77777777" w:rsidR="00F36B2D" w:rsidRDefault="00F36B2D" w:rsidP="00F36B2D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154E81"/>
          <w:kern w:val="0"/>
          <w:u w:val="thick"/>
        </w:rPr>
      </w:pPr>
      <w:r>
        <w:rPr>
          <w:rFonts w:ascii="Trebuchet MS" w:eastAsia="Times New Roman" w:hAnsi="Trebuchet MS"/>
          <w:b/>
          <w:color w:val="154E81"/>
          <w:kern w:val="0"/>
          <w:u w:val="thick"/>
        </w:rPr>
        <w:t>СЪЩНОСТ НА ПОКАНАТА ЗА ФИНАНСИРАНЕ</w:t>
      </w:r>
    </w:p>
    <w:p w14:paraId="7A9D2F8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333399"/>
          <w:kern w:val="0"/>
        </w:rPr>
      </w:pPr>
    </w:p>
    <w:p w14:paraId="7B361C3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Поканата за финансиране представлява официален документ, чрез който управляващ орган, европейска институция, национална агенция или друга компетентна структура обявява възможност за кандидатстване с проектно предложение в рамките на конкретна програма, приоритет или мярка.</w:t>
      </w:r>
    </w:p>
    <w:p w14:paraId="65E5950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Тя има нормативно и процедурно значение, тъй като определя условията, при които потенциалните кандидати могат да участват в процедурата, както и изискванията, на които трябва да отговарят техните проектни предложения. Поканата не следва да се разглежда като кратко информационно съобщение, а като основен документ, който рамкира цялата логика на кандидатстването.</w:t>
      </w:r>
    </w:p>
    <w:p w14:paraId="339394D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3FC2181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практиката поканата изпълнява няколко основни функции:</w:t>
      </w:r>
    </w:p>
    <w:p w14:paraId="1423A46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определя целта на финансирането;</w:t>
      </w:r>
    </w:p>
    <w:p w14:paraId="36666F5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посочва допустимите кандидати;</w:t>
      </w:r>
    </w:p>
    <w:p w14:paraId="12CA1C5F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описва допустимите дейности;</w:t>
      </w:r>
    </w:p>
    <w:p w14:paraId="6EAF321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задава условията за бюджетиране и срокове;</w:t>
      </w:r>
    </w:p>
    <w:p w14:paraId="5221846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регламентира начина на кандидатстване;</w:t>
      </w:r>
    </w:p>
    <w:p w14:paraId="6AE2555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очертава критериите за оценка и подбор.</w:t>
      </w:r>
    </w:p>
    <w:p w14:paraId="07F0BB3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Следователно, поканата е не само източник на информация, но и инструмент за предварителна селекция. Чрез нея финансиращият орган насочва кои проекти са желани, какви резултати се очакват и кои кандидати имат право да участват.</w:t>
      </w:r>
    </w:p>
    <w:p w14:paraId="394B8AF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22013D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154E81"/>
          <w:kern w:val="0"/>
          <w:u w:val="thick"/>
        </w:rPr>
      </w:pPr>
      <w:r>
        <w:rPr>
          <w:rFonts w:ascii="Trebuchet MS" w:eastAsia="Times New Roman" w:hAnsi="Trebuchet MS"/>
          <w:b/>
          <w:color w:val="154E81"/>
          <w:kern w:val="0"/>
          <w:u w:val="thick"/>
        </w:rPr>
        <w:t>2. ЗНАЧЕНИЕ НА СТРУКТУРАТА НА ПОКАНАТА</w:t>
      </w:r>
    </w:p>
    <w:p w14:paraId="43A598E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42E7136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Разбирането на структурата на поканата е ключово условие за правилната ѝ интерпретация. За начинаещите кандидати основната трудност обикновено не е в липсата на мотивация или идеи, а в това, че не умеят да се ориентират в административния документ и да откроят съществената информация.</w:t>
      </w:r>
    </w:p>
    <w:p w14:paraId="35DF650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Поканите често са обемни, терминологично сложни и структурирани в няколко раздела, приложения, насоки и допълнителни документи. Това създава усещане за тежест и неяснота, особено когато организацията няма опит в работа с проектна документация.</w:t>
      </w:r>
    </w:p>
    <w:p w14:paraId="56348461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Именно поради това е необходимо да се усвои не просто съдържанието на една конкретна покана, а общ модел за разчитане на нейната структура. Това умение позволява:</w:t>
      </w:r>
    </w:p>
    <w:p w14:paraId="37C7633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по-бързо ориентиране в документа;</w:t>
      </w:r>
    </w:p>
    <w:p w14:paraId="773616F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откриване на ключовата информация;</w:t>
      </w:r>
    </w:p>
    <w:p w14:paraId="711CB1D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намаляване на риска от погрешна интерпретация;</w:t>
      </w:r>
    </w:p>
    <w:p w14:paraId="74E04FE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правилно разбиране и интерпретация на съдържанието на поканата;</w:t>
      </w:r>
    </w:p>
    <w:p w14:paraId="5C669BBF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по-ефективна подготовка на проектното предложение.</w:t>
      </w:r>
    </w:p>
    <w:p w14:paraId="6771E33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Структурата на поканата не е случайна. Тя следва логиката на целия процес по подбор и затова всяка нейна част има конкретно предназначение.</w:t>
      </w:r>
    </w:p>
    <w:p w14:paraId="1725FC30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7487D0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154E81"/>
          <w:kern w:val="0"/>
          <w:u w:val="thick"/>
        </w:rPr>
      </w:pPr>
      <w:r>
        <w:rPr>
          <w:rFonts w:ascii="Trebuchet MS" w:eastAsia="Times New Roman" w:hAnsi="Trebuchet MS"/>
          <w:b/>
          <w:color w:val="154E81"/>
          <w:kern w:val="0"/>
          <w:u w:val="thick"/>
        </w:rPr>
        <w:t>3. ОСНОВНИ ЕЛЕМЕНТИ В СТРУКТУРАТА НА ЕДНА ПОКАНА ЗА ФИНАНСИРАНЕ</w:t>
      </w:r>
    </w:p>
    <w:p w14:paraId="22F23DB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Настоящият раздел не разглежда процеса на разработване и писане на проектно предложение. Фокусът е върху правилно разбиране на съдържанието на поканата и какви са условията и изискванията й.</w:t>
      </w:r>
    </w:p>
    <w:p w14:paraId="4236F8E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 xml:space="preserve">Независимо дали става дума за покана по </w:t>
      </w:r>
      <w:proofErr w:type="spellStart"/>
      <w:r>
        <w:rPr>
          <w:rFonts w:ascii="Trebuchet MS" w:eastAsia="Times New Roman" w:hAnsi="Trebuchet MS"/>
          <w:bCs/>
          <w:kern w:val="0"/>
        </w:rPr>
        <w:t>Erasmus</w:t>
      </w:r>
      <w:proofErr w:type="spellEnd"/>
      <w:r>
        <w:rPr>
          <w:rFonts w:ascii="Trebuchet MS" w:eastAsia="Times New Roman" w:hAnsi="Trebuchet MS"/>
          <w:bCs/>
          <w:kern w:val="0"/>
        </w:rPr>
        <w:t xml:space="preserve">+, </w:t>
      </w:r>
      <w:proofErr w:type="spellStart"/>
      <w:r>
        <w:rPr>
          <w:rFonts w:ascii="Trebuchet MS" w:eastAsia="Times New Roman" w:hAnsi="Trebuchet MS"/>
          <w:bCs/>
          <w:kern w:val="0"/>
        </w:rPr>
        <w:t>Interreg</w:t>
      </w:r>
      <w:proofErr w:type="spellEnd"/>
      <w:r>
        <w:rPr>
          <w:rFonts w:ascii="Trebuchet MS" w:eastAsia="Times New Roman" w:hAnsi="Trebuchet MS"/>
          <w:bCs/>
          <w:kern w:val="0"/>
        </w:rPr>
        <w:t>, ESC, CERV, ESF+ или друга програма, в повечето случаи могат да бъдат разграничени няколко основни структурни елемента.</w:t>
      </w:r>
    </w:p>
    <w:p w14:paraId="51F7010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0BEEED8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t>3.1. Наименование и идентификация на поканата</w:t>
      </w:r>
    </w:p>
    <w:p w14:paraId="681AAC7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Всеки документ за кандидатстване започва с ясно обозначение на поканата. То обикновено включва:</w:t>
      </w:r>
    </w:p>
    <w:p w14:paraId="6257C81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заглавие на поканата;</w:t>
      </w:r>
    </w:p>
    <w:p w14:paraId="5CA5142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наименование на програмата;</w:t>
      </w:r>
    </w:p>
    <w:p w14:paraId="4402A2D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приоритет, мярка или действие;</w:t>
      </w:r>
    </w:p>
    <w:p w14:paraId="342DCBF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референтен номер или код на поканата;</w:t>
      </w:r>
    </w:p>
    <w:p w14:paraId="5BF60BCF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дата на публикуване;</w:t>
      </w:r>
    </w:p>
    <w:p w14:paraId="092FD89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краен срок за кандидатстване.</w:t>
      </w:r>
    </w:p>
    <w:p w14:paraId="0B9420C0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Тази част е важна, защото позволява точното идентифициране на процедурата. В практиката организациите често работят с няколко сходни възможности и без ясно обозначение може да се стигне до объркване между различни покани, действия или програмни години.</w:t>
      </w:r>
    </w:p>
    <w:p w14:paraId="4CB912B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Затова още в началото кандидатът трябва да си изясни:</w:t>
      </w:r>
    </w:p>
    <w:p w14:paraId="730F82F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коя точно е поканата;</w:t>
      </w:r>
    </w:p>
    <w:p w14:paraId="352130E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по коя програма е публикувана;</w:t>
      </w:r>
    </w:p>
    <w:p w14:paraId="555EC83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за кой период или прием се отнася;</w:t>
      </w:r>
    </w:p>
    <w:p w14:paraId="3034CBB0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дали е текуща и валидна.</w:t>
      </w:r>
    </w:p>
    <w:p w14:paraId="7476FE9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1412F1E1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t>3.2. Контекст и основание на поканата</w:t>
      </w:r>
    </w:p>
    <w:p w14:paraId="35D60F9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повечето случаи в началото на документа се съдържа кратка част, която представя контекста на поканата. Тук се обяснява защо тя е публикувана, в рамките на каква политика или програма се намира и какъв обществен, институционален или секторен проблем цели да адресира.</w:t>
      </w:r>
    </w:p>
    <w:p w14:paraId="7020FF4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Тази част е особено важна, защото въвежда логиката на финансирането. Тя показва, че поканата не съществува изолирано, а произтича от конкретни приоритети и политики.</w:t>
      </w:r>
    </w:p>
    <w:p w14:paraId="3CEF18F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този раздел обикновено се съдържа информация за:</w:t>
      </w:r>
    </w:p>
    <w:p w14:paraId="3B9CCC0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връзката с програмата и нейните цели;</w:t>
      </w:r>
    </w:p>
    <w:p w14:paraId="094B6F9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политическия или стратегическия контекст;</w:t>
      </w:r>
    </w:p>
    <w:p w14:paraId="2E0518A0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обществените нужди, към които е насочена поканата;</w:t>
      </w:r>
    </w:p>
    <w:p w14:paraId="148E760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очаквания принос на проектите.</w:t>
      </w:r>
    </w:p>
    <w:p w14:paraId="38521A4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Необходимо е тази част да се чете внимателно, тъй като именно тук се открива отговорът на въпроса:</w:t>
      </w:r>
    </w:p>
    <w:p w14:paraId="40C79AD8" w14:textId="77777777" w:rsidR="00F36B2D" w:rsidRDefault="00F36B2D" w:rsidP="00F36B2D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„Какъв тип промяна иска финансиращият орган да постигне чрез тази покана?“</w:t>
      </w:r>
    </w:p>
    <w:p w14:paraId="448C240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4F4E753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lastRenderedPageBreak/>
        <w:t>3.3. Цели на поканата</w:t>
      </w:r>
    </w:p>
    <w:p w14:paraId="0FF4591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Един от най-съществените елементи в структурата на поканата е разделът, в който се формулират нейните цели. Те могат да бъдат общи и специфични.</w:t>
      </w:r>
    </w:p>
    <w:p w14:paraId="2C0A761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Общите цели обикновено отразяват по-широката логика на програмата, докато специфичните цели очертават конкретния фокус на текущата процедура. Именно те служат като ориентир за това дали една проектна идея е подходяща.</w:t>
      </w:r>
    </w:p>
    <w:p w14:paraId="2861F73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Тази част трябва да се разглежда като първичен филтър. Ако проектната идея не съответства на целите на поканата, няма смисъл да се продължава към по-задълбочена подготовка.</w:t>
      </w:r>
    </w:p>
    <w:p w14:paraId="51553000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Много неуспешни кандидатури произтичат именно от недостатъчно добро разбиране на целите.</w:t>
      </w:r>
    </w:p>
    <w:p w14:paraId="4C1F4CF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7D9495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t>3.4. Приоритети и тематичен обхват</w:t>
      </w:r>
    </w:p>
    <w:p w14:paraId="15DFA11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Много покани са структурирани по приоритети, направления, действия или тематични области. Това е разделът, в който се конкретизира в кои теми се очакват проектни предложения.</w:t>
      </w:r>
    </w:p>
    <w:p w14:paraId="3F33CD51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Например, в една покана могат да бъдат определени приоритети като:</w:t>
      </w:r>
    </w:p>
    <w:p w14:paraId="41586DB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социално включване;</w:t>
      </w:r>
    </w:p>
    <w:p w14:paraId="78762F1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младежко участие;</w:t>
      </w:r>
    </w:p>
    <w:p w14:paraId="68FA74B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образование и учене през целия живот;</w:t>
      </w:r>
    </w:p>
    <w:p w14:paraId="6B5CF3E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междукултурен диалог;</w:t>
      </w:r>
    </w:p>
    <w:p w14:paraId="6805300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права и равенство;</w:t>
      </w:r>
    </w:p>
    <w:p w14:paraId="2A1000A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устойчиво местно развитие.</w:t>
      </w:r>
    </w:p>
    <w:p w14:paraId="42F6533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Кандидатът трябва не само да разпознае сходна тема, но и да установи дали проектът му попада точно в приоритетната рамка, посочена в документа.</w:t>
      </w:r>
    </w:p>
    <w:p w14:paraId="7EE386E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 практика това означава, че не е достатъчно темата да изглежда „близка“. Нужно е да има ясно тематично съответствие между проекта и приоритета.</w:t>
      </w:r>
    </w:p>
    <w:p w14:paraId="79BB138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18E9D49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t>3.5. Допустими кандидати</w:t>
      </w:r>
    </w:p>
    <w:p w14:paraId="5D8CE8D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Това е една от най-важните части на всяка покана. Тук се определя кой има право да подаде проектно предложение.</w:t>
      </w:r>
    </w:p>
    <w:p w14:paraId="01CD46F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3B292B4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Обикновено се уточнява:</w:t>
      </w:r>
    </w:p>
    <w:p w14:paraId="356F2F8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какъв тип юридически лица могат да кандидатстват;</w:t>
      </w:r>
    </w:p>
    <w:p w14:paraId="057FE10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дали кандидатите трябва да бъдат публични, частни, неправителствени или други организации;</w:t>
      </w:r>
    </w:p>
    <w:p w14:paraId="15E8BB3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дали има изискване за регистрация в конкретна държава или регион;</w:t>
      </w:r>
    </w:p>
    <w:p w14:paraId="1C62CF2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дали се допуска индивидуално кандидатстване или се изисква партньорство;</w:t>
      </w:r>
    </w:p>
    <w:p w14:paraId="15B1B80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какви ограничения съществуват по отношение на опита, правната форма или капацитета.</w:t>
      </w:r>
    </w:p>
    <w:p w14:paraId="5DEE9CF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Този раздел трябва да бъде проверен още в началото на анализа. Ако организацията не е допустим кандидат, по-нататъшното четене има само информативна стойност.</w:t>
      </w:r>
    </w:p>
    <w:p w14:paraId="2609A70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Важно е да се подчертае, че допустимостта не трябва да се предполага. Тя трябва да бъде установена на база изрично записаното в поканата.</w:t>
      </w:r>
    </w:p>
    <w:p w14:paraId="5B5A4AF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31FB4DEF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lastRenderedPageBreak/>
        <w:t>3.6. Допустими дейности</w:t>
      </w:r>
    </w:p>
    <w:p w14:paraId="10E99FFF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DABA8C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Разделът за допустимите дейности е централна част от всяка покана. Именно тук се описва какво може и какво не може да бъде финансирано.</w:t>
      </w:r>
    </w:p>
    <w:p w14:paraId="6D764AB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E1CE3F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Той обикновено съдържа информация за:</w:t>
      </w:r>
    </w:p>
    <w:p w14:paraId="6563197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видовете дейности, които се насърчават;</w:t>
      </w:r>
    </w:p>
    <w:p w14:paraId="25D562E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обхвата на интервенцията;</w:t>
      </w:r>
    </w:p>
    <w:p w14:paraId="0640A60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ограниченията;</w:t>
      </w:r>
    </w:p>
    <w:p w14:paraId="792EB13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недопустимите дейности;</w:t>
      </w:r>
    </w:p>
    <w:p w14:paraId="0F514DD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спецификите на проекта.</w:t>
      </w:r>
    </w:p>
    <w:p w14:paraId="3D2325A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Този раздел позволява да се направи съпоставка между проектната идея и допустимите дейности.</w:t>
      </w:r>
    </w:p>
    <w:p w14:paraId="0868C35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Например една покана може да допуска:</w:t>
      </w:r>
    </w:p>
    <w:p w14:paraId="361A157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обучения;</w:t>
      </w:r>
    </w:p>
    <w:p w14:paraId="21B5D5D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събития;</w:t>
      </w:r>
    </w:p>
    <w:p w14:paraId="57DA472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доброволчески инициативи;</w:t>
      </w:r>
    </w:p>
    <w:p w14:paraId="6BE8115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обмен на добри практики;</w:t>
      </w:r>
    </w:p>
    <w:p w14:paraId="40EDE13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социални услуги;</w:t>
      </w:r>
    </w:p>
    <w:p w14:paraId="00E6C8A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кампании;</w:t>
      </w:r>
    </w:p>
    <w:p w14:paraId="30ABE92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мрежи и партньорства.</w:t>
      </w:r>
    </w:p>
    <w:p w14:paraId="4E1BA7F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1607F30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Но същевременно да изключва:</w:t>
      </w:r>
    </w:p>
    <w:p w14:paraId="4A0252F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строителство;</w:t>
      </w:r>
    </w:p>
    <w:p w14:paraId="5635B34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покупка на оборудване извън определени рамки;</w:t>
      </w:r>
    </w:p>
    <w:p w14:paraId="652AC98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стопанска дейност;</w:t>
      </w:r>
    </w:p>
    <w:p w14:paraId="35826F7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дейности без международен елемент;</w:t>
      </w:r>
    </w:p>
    <w:p w14:paraId="67FA711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дейности извън програмната зона.</w:t>
      </w:r>
    </w:p>
    <w:p w14:paraId="0DD1187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9A4149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Именно тук много кандидати допускат съществена грешка: те виждат общата тема на поканата, но не проверяват дали конкретните им дейности са допустими.</w:t>
      </w:r>
    </w:p>
    <w:p w14:paraId="16B61D9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Целта на този анализ не е да се разработва проект, а да се прецени дали съществува съответствие между идеята и допустимите дейности.</w:t>
      </w:r>
    </w:p>
    <w:p w14:paraId="639A5A6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338A5FB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t>3.7. Целеви групи</w:t>
      </w:r>
    </w:p>
    <w:p w14:paraId="5E867121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6AED8A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много покани изрично се посочва към кои групи трябва да бъдат насочени проектните дейности. Това може да включва:</w:t>
      </w:r>
    </w:p>
    <w:p w14:paraId="5CBB4EF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млади хора;</w:t>
      </w:r>
    </w:p>
    <w:p w14:paraId="18D07B8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деца;</w:t>
      </w:r>
    </w:p>
    <w:p w14:paraId="1120775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възрастни хора;</w:t>
      </w:r>
    </w:p>
    <w:p w14:paraId="258EF10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уязвими групи;</w:t>
      </w:r>
    </w:p>
    <w:p w14:paraId="77C1DB7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хора с увреждания;</w:t>
      </w:r>
    </w:p>
    <w:p w14:paraId="630CF4A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безработни;</w:t>
      </w:r>
    </w:p>
    <w:p w14:paraId="0312090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мигранти;</w:t>
      </w:r>
    </w:p>
    <w:p w14:paraId="65F1160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местни общности;</w:t>
      </w:r>
    </w:p>
    <w:p w14:paraId="6CE6E52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lastRenderedPageBreak/>
        <w:t>• професионалисти и специалисти.</w:t>
      </w:r>
    </w:p>
    <w:p w14:paraId="70F12AF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Тази част е важна, защото дори една идея да е тематично близка, тя може да не е подходяща, ако работи с различна целева група от очакваната в поканата.</w:t>
      </w:r>
    </w:p>
    <w:p w14:paraId="6F0AD31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Следователно е необходимо да се направи преценка на съответствието между проектната идея и целевите групи, определени в поканата.</w:t>
      </w:r>
    </w:p>
    <w:p w14:paraId="0D513FE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010E127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t>3.8. Финансови условия</w:t>
      </w:r>
    </w:p>
    <w:p w14:paraId="13E7D90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407E451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Поканата съдържа и раздел, посветен на финансовите параметри на кандидатстването. Тук обикновено се включва информация за:</w:t>
      </w:r>
    </w:p>
    <w:p w14:paraId="472DCE1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общия бюджет на процедурата;</w:t>
      </w:r>
    </w:p>
    <w:p w14:paraId="434785F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минималния и максималния размер на финансирането;</w:t>
      </w:r>
    </w:p>
    <w:p w14:paraId="29EB577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процента на съфинансиране;</w:t>
      </w:r>
    </w:p>
    <w:p w14:paraId="4487E21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изискването за собствен принос;</w:t>
      </w:r>
    </w:p>
    <w:p w14:paraId="2BF9BFCF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допустимите разходи;</w:t>
      </w:r>
    </w:p>
    <w:p w14:paraId="2740432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недопустимите разходи;</w:t>
      </w:r>
    </w:p>
    <w:p w14:paraId="675D695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начина на формиране на бюджета.</w:t>
      </w:r>
    </w:p>
    <w:p w14:paraId="059FFD1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5BD08D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Тази част има пряко значение за реалистичността на проекта. Една покана може да е тематично подходяща, но да изисква финансов модел, който организацията не може да осигури.</w:t>
      </w:r>
    </w:p>
    <w:p w14:paraId="2008DD6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Затова финансовият раздел следва да се анализира не само от гледна точка на наличния ресурс, но и от гледна точка на административния капацитет за управление и отчитане.</w:t>
      </w:r>
    </w:p>
    <w:p w14:paraId="0F225BD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342ADD8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t>3.9. Срокове и процедура за кандидатстване</w:t>
      </w:r>
    </w:p>
    <w:p w14:paraId="6B81D01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E1833A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Всеки документ за кандидатстване съдържа информация за сроковете и за техническата процедура на подаване.</w:t>
      </w:r>
    </w:p>
    <w:p w14:paraId="31837ED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1CA5D5D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Тук се посочва:</w:t>
      </w:r>
    </w:p>
    <w:p w14:paraId="2109B43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начална дата на приема;</w:t>
      </w:r>
    </w:p>
    <w:p w14:paraId="0C532EF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краен срок за кандидатстване;</w:t>
      </w:r>
    </w:p>
    <w:p w14:paraId="6E3CBDA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часови диапазон или час на затваряне на системата;</w:t>
      </w:r>
    </w:p>
    <w:p w14:paraId="2B446AF0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електронната платформа за подаване;</w:t>
      </w:r>
    </w:p>
    <w:p w14:paraId="7AC746B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евентуални етапи на процедурата;</w:t>
      </w:r>
    </w:p>
    <w:p w14:paraId="49F19A6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срокове за въпроси и разяснения.</w:t>
      </w:r>
    </w:p>
    <w:p w14:paraId="54BE127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Този раздел е много важен, защото кандидатът трябва да прецени не само дали темата е подходяща, но и дали реално има време да подготви качествено предложение.</w:t>
      </w:r>
    </w:p>
    <w:p w14:paraId="1AD6B13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3959C3A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/>
          <w:kern w:val="0"/>
        </w:rPr>
        <w:t>3.10. Критерии за оценка</w:t>
      </w:r>
    </w:p>
    <w:p w14:paraId="43B4BA3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по-голямата част от поканите се съдържа информация за това как ще бъдат оценявани проектите. Този раздел е изключително ценен, защото показва какво финансиращият орган счита за важно.</w:t>
      </w:r>
    </w:p>
    <w:p w14:paraId="0759695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Тук могат да бъдат посочени критерии като:</w:t>
      </w:r>
    </w:p>
    <w:p w14:paraId="0C2AE46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4892D4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релевантност;</w:t>
      </w:r>
    </w:p>
    <w:p w14:paraId="7D9B62F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качество на проекта;</w:t>
      </w:r>
    </w:p>
    <w:p w14:paraId="4D30C44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качество на партньорството;</w:t>
      </w:r>
    </w:p>
    <w:p w14:paraId="62E7695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устойчивост;</w:t>
      </w:r>
    </w:p>
    <w:p w14:paraId="62C1A86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въздействие;</w:t>
      </w:r>
    </w:p>
    <w:p w14:paraId="3A66DAFA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бюджетна обоснованост;</w:t>
      </w:r>
    </w:p>
    <w:p w14:paraId="16EB74F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капацитет на кандидата.</w:t>
      </w:r>
    </w:p>
    <w:p w14:paraId="61F256B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Дори на етап предварителен анализ този раздел е полезен, защото позволява на организацията да прецени дали има шанс да отговори на логиката на оценяване.</w:t>
      </w:r>
    </w:p>
    <w:p w14:paraId="28F6369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Този раздел не цели да разглежда начина на разработване на проектно предложение, а да даде ориентир за това какви са очакванията на финансиращия орган.</w:t>
      </w:r>
    </w:p>
    <w:p w14:paraId="08987BC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5CD2052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  <w:r>
        <w:rPr>
          <w:rFonts w:ascii="Trebuchet MS" w:eastAsia="Times New Roman" w:hAnsi="Trebuchet MS"/>
          <w:bCs/>
          <w:kern w:val="0"/>
        </w:rPr>
        <w:t xml:space="preserve">4. </w:t>
      </w:r>
      <w:r>
        <w:rPr>
          <w:rFonts w:ascii="Trebuchet MS" w:eastAsia="Times New Roman" w:hAnsi="Trebuchet MS"/>
          <w:b/>
          <w:kern w:val="0"/>
        </w:rPr>
        <w:t>Практическо значение на познаването на структурата</w:t>
      </w:r>
    </w:p>
    <w:p w14:paraId="001C339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54F3BE7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Познаването на структурата на поканата позволява на организацията да премине от хаотично четене към систематично ориентиране в документа. Вместо да се губи в детайли, тя може целенасочено да открива и разбира ключовата информация.</w:t>
      </w:r>
    </w:p>
    <w:p w14:paraId="25DF6F5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Това умение е особено важно в началните етапи на работа с покани, когато е необходимо ясно разбиране на условията, изискванията и логиката на процедурата.</w:t>
      </w:r>
    </w:p>
    <w:p w14:paraId="07BF521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51BD355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Когато кандидатът познава структурата на документа, той може по-лесно да:</w:t>
      </w:r>
    </w:p>
    <w:p w14:paraId="62B5180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се ориентира в съдържанието на поканата;</w:t>
      </w:r>
    </w:p>
    <w:p w14:paraId="5867F6A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открие най-важните раздели;</w:t>
      </w:r>
    </w:p>
    <w:p w14:paraId="276E0EE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разбере изискванията към кандидатите и дейностите;</w:t>
      </w:r>
    </w:p>
    <w:p w14:paraId="443F850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проследи условията за финансиране;</w:t>
      </w:r>
    </w:p>
    <w:p w14:paraId="53DEF25F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работи по-ефективно с документацията.</w:t>
      </w:r>
    </w:p>
    <w:p w14:paraId="2B05136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Познаването на структурата подпомага правилното възприемане на информацията и улеснява последващата работа с поканата..</w:t>
      </w:r>
    </w:p>
    <w:p w14:paraId="7CC56D8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3D0755C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154E81"/>
          <w:kern w:val="0"/>
          <w:u w:val="thick"/>
        </w:rPr>
      </w:pPr>
      <w:r>
        <w:rPr>
          <w:rFonts w:ascii="Trebuchet MS" w:eastAsia="Times New Roman" w:hAnsi="Trebuchet MS"/>
          <w:b/>
          <w:color w:val="154E81"/>
          <w:kern w:val="0"/>
          <w:u w:val="thick"/>
        </w:rPr>
        <w:t>5. КРИТЕРИИ ЗА ДОПУСТИМОСТ – ОБОБЩЕНИЕ</w:t>
      </w:r>
    </w:p>
    <w:p w14:paraId="5D7220EF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5B9BD5"/>
          <w:kern w:val="0"/>
          <w:u w:val="thick"/>
        </w:rPr>
      </w:pPr>
    </w:p>
    <w:p w14:paraId="7E665DC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Критериите за допустимост представляват съвкупност от изисквания, които определят дали една организация и нейният проект могат да бъдат разгледани в рамките на конкретна покана.</w:t>
      </w:r>
    </w:p>
    <w:p w14:paraId="38282C7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Тези критерии не са отделен елемент, а са интегрирани в различни части на поканата. Те обикновено включват:</w:t>
      </w:r>
    </w:p>
    <w:p w14:paraId="783E288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03A64480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допустимост на кандидата (тип организация, регистрация, опит);</w:t>
      </w:r>
    </w:p>
    <w:p w14:paraId="1C9E9A7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допустимост на партньорите (ако се изискват);</w:t>
      </w:r>
    </w:p>
    <w:p w14:paraId="0B98E1B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допустимост на дейностите;</w:t>
      </w:r>
    </w:p>
    <w:p w14:paraId="0318B19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допустимост на целевите групи;</w:t>
      </w:r>
    </w:p>
    <w:p w14:paraId="656245A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допустимост на разходите;</w:t>
      </w:r>
    </w:p>
    <w:p w14:paraId="0616CFF2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lastRenderedPageBreak/>
        <w:t>• териториален обхват;</w:t>
      </w:r>
    </w:p>
    <w:p w14:paraId="34342AD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срокове за кандидатстване.</w:t>
      </w:r>
    </w:p>
    <w:p w14:paraId="505C4F3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Важно е да се подчертае, че допустимостта е първият и задължителен филтър при оценката на проектните предложения. Ако едно предложение не отговаря на тези изисквания, то не подлежи на последваща качествена оценка.</w:t>
      </w:r>
    </w:p>
    <w:p w14:paraId="005824B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От практическа гледна точка анализът на допустимостта позволява на организацията още в начален етап да прецени дали има смисъл да продължи към разработване на проектна идея.</w:t>
      </w:r>
    </w:p>
    <w:p w14:paraId="508610C5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423E328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67264368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41F4D41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6879FC27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154E81"/>
          <w:kern w:val="0"/>
          <w:u w:val="thick"/>
        </w:rPr>
      </w:pPr>
      <w:r>
        <w:rPr>
          <w:rFonts w:ascii="Trebuchet MS" w:eastAsia="Times New Roman" w:hAnsi="Trebuchet MS"/>
          <w:b/>
          <w:color w:val="154E81"/>
          <w:kern w:val="0"/>
          <w:u w:val="thick"/>
        </w:rPr>
        <w:t>5. ЗАКЛЮЧЕНИЕ</w:t>
      </w:r>
    </w:p>
    <w:p w14:paraId="2ACB570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55D6B93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Познаването на структурата на поканата позволява на организацията да премине от хаотично четене към систематично ориентиране в документа. Вместо да се губи в детайли, тя може целенасочено да открива и разбира ключовата информация.</w:t>
      </w:r>
    </w:p>
    <w:p w14:paraId="298BDDE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Това умение е особено важно в началните етапи на работа с покани, когато е необходимо ясно разбиране на условията, изискванията и логиката на процедурата.</w:t>
      </w:r>
    </w:p>
    <w:p w14:paraId="75CDA55C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Когато кандидатът познава структурата на документа, той може по-лесно да:</w:t>
      </w:r>
    </w:p>
    <w:p w14:paraId="6D4DB99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се ориентира в съдържанието на поканата;</w:t>
      </w:r>
    </w:p>
    <w:p w14:paraId="59D51FAE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открие най-важните раздели;</w:t>
      </w:r>
    </w:p>
    <w:p w14:paraId="602D49F9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разбере изискванията към кандидатите и дейностите;</w:t>
      </w:r>
    </w:p>
    <w:p w14:paraId="447BC7A6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проследи условията за финансиране;</w:t>
      </w:r>
    </w:p>
    <w:p w14:paraId="5BA6FE40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• работи по-ефективно с документацията.</w:t>
      </w:r>
    </w:p>
    <w:p w14:paraId="3074BA03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Познаването на структурата подпомага правилното възприемане на информацията и улеснява последващата работа с поканата.</w:t>
      </w:r>
    </w:p>
    <w:p w14:paraId="0910D9FD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after="0" w:line="273" w:lineRule="exact"/>
        <w:ind w:left="2403"/>
        <w:rPr>
          <w:rFonts w:ascii="Trebuchet MS" w:eastAsia="Times New Roman" w:hAnsi="Trebuchet MS"/>
          <w:bCs/>
          <w:color w:val="003399"/>
          <w:kern w:val="0"/>
        </w:rPr>
      </w:pPr>
    </w:p>
    <w:p w14:paraId="66876AAB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after="0" w:line="273" w:lineRule="exact"/>
        <w:ind w:left="2403"/>
        <w:rPr>
          <w:rFonts w:ascii="Trebuchet MS" w:eastAsia="Times New Roman" w:hAnsi="Trebuchet MS"/>
          <w:bCs/>
          <w:color w:val="003399"/>
          <w:kern w:val="0"/>
        </w:rPr>
      </w:pPr>
    </w:p>
    <w:p w14:paraId="7413FEF4" w14:textId="77777777" w:rsidR="00F36B2D" w:rsidRDefault="00F36B2D" w:rsidP="00F36B2D">
      <w:pPr>
        <w:widowControl w:val="0"/>
        <w:kinsoku w:val="0"/>
        <w:overflowPunct w:val="0"/>
        <w:autoSpaceDE w:val="0"/>
        <w:autoSpaceDN w:val="0"/>
        <w:adjustRightInd w:val="0"/>
        <w:spacing w:after="0" w:line="273" w:lineRule="exact"/>
        <w:ind w:left="2403"/>
        <w:rPr>
          <w:rFonts w:ascii="Trebuchet MS" w:eastAsia="Times New Roman" w:hAnsi="Trebuchet MS"/>
          <w:bCs/>
          <w:color w:val="003399"/>
          <w:kern w:val="0"/>
        </w:rPr>
      </w:pPr>
    </w:p>
    <w:p w14:paraId="131BD786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4E61"/>
    <w:multiLevelType w:val="hybridMultilevel"/>
    <w:tmpl w:val="452E632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2609F8"/>
    <w:multiLevelType w:val="hybridMultilevel"/>
    <w:tmpl w:val="925414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0440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94287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7D"/>
    <w:rsid w:val="000B0951"/>
    <w:rsid w:val="001E4EC4"/>
    <w:rsid w:val="00274C7D"/>
    <w:rsid w:val="004102F7"/>
    <w:rsid w:val="00ED61E3"/>
    <w:rsid w:val="00F3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2D2CE-C573-4BE5-92BF-CB208F93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B2D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C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C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74C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74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74C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74C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74C7D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74C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74C7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74C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74C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274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274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4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274C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4C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4C7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4C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274C7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4C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1920</Words>
  <Characters>10944</Characters>
  <Application>Microsoft Office Word</Application>
  <DocSecurity>0</DocSecurity>
  <Lines>91</Lines>
  <Paragraphs>25</Paragraphs>
  <ScaleCrop>false</ScaleCrop>
  <Company/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2</cp:revision>
  <dcterms:created xsi:type="dcterms:W3CDTF">2026-08-20T06:35:00Z</dcterms:created>
  <dcterms:modified xsi:type="dcterms:W3CDTF">2026-08-20T06:35:00Z</dcterms:modified>
</cp:coreProperties>
</file>