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08265" w14:textId="77777777" w:rsidR="00183736" w:rsidRPr="00183736" w:rsidRDefault="00183736" w:rsidP="00183736">
      <w:pPr>
        <w:keepNext/>
        <w:keepLines/>
        <w:spacing w:before="360" w:after="80"/>
        <w:outlineLvl w:val="0"/>
        <w:rPr>
          <w:rFonts w:ascii="Trebuchet MS" w:eastAsia="Calibri" w:hAnsi="Trebuchet MS" w:cs="Times New Roman"/>
          <w:b/>
          <w:bCs/>
          <w:color w:val="154E81"/>
          <w:sz w:val="28"/>
          <w:szCs w:val="28"/>
          <w:lang w:eastAsia="bg-BG"/>
          <w14:ligatures w14:val="none"/>
        </w:rPr>
      </w:pPr>
      <w:bookmarkStart w:id="0" w:name="_Toc227593276"/>
      <w:r w:rsidRPr="00183736">
        <w:rPr>
          <w:rFonts w:ascii="Trebuchet MS" w:eastAsia="Calibri" w:hAnsi="Trebuchet MS" w:cs="Times New Roman"/>
          <w:b/>
          <w:bCs/>
          <w:color w:val="154E81"/>
          <w:sz w:val="28"/>
          <w:szCs w:val="28"/>
          <w:lang w:eastAsia="bg-BG"/>
          <w14:ligatures w14:val="none"/>
        </w:rPr>
        <w:t xml:space="preserve">УРОК </w:t>
      </w:r>
      <w:r w:rsidRPr="00183736">
        <w:rPr>
          <w:rFonts w:ascii="Trebuchet MS" w:eastAsia="Calibri" w:hAnsi="Trebuchet MS" w:cs="Times New Roman"/>
          <w:b/>
          <w:bCs/>
          <w:color w:val="154E81"/>
          <w:sz w:val="28"/>
          <w:szCs w:val="28"/>
          <w:lang w:val="en-US" w:eastAsia="bg-BG"/>
          <w14:ligatures w14:val="none"/>
        </w:rPr>
        <w:t>9</w:t>
      </w:r>
      <w:r w:rsidRPr="00183736">
        <w:rPr>
          <w:rFonts w:ascii="Trebuchet MS" w:eastAsia="Calibri" w:hAnsi="Trebuchet MS" w:cs="Times New Roman"/>
          <w:b/>
          <w:bCs/>
          <w:color w:val="154E81"/>
          <w:sz w:val="28"/>
          <w:szCs w:val="28"/>
          <w:lang w:eastAsia="bg-BG"/>
          <w14:ligatures w14:val="none"/>
        </w:rPr>
        <w:t xml:space="preserve">: </w:t>
      </w:r>
      <w:bookmarkStart w:id="1" w:name="_Hlk226720541"/>
      <w:r w:rsidRPr="00183736">
        <w:rPr>
          <w:rFonts w:ascii="Trebuchet MS" w:eastAsia="Calibri" w:hAnsi="Trebuchet MS" w:cs="Times New Roman"/>
          <w:b/>
          <w:bCs/>
          <w:color w:val="154E81"/>
          <w:sz w:val="28"/>
          <w:szCs w:val="28"/>
          <w:lang w:eastAsia="bg-BG"/>
          <w14:ligatures w14:val="none"/>
        </w:rPr>
        <w:t>АНАЛИЗ НА РЕАЛНИ ПОКАНИ И ПРЕЦЕНКА НА ДОПУСТИМОСТ</w:t>
      </w:r>
      <w:bookmarkEnd w:id="0"/>
    </w:p>
    <w:bookmarkEnd w:id="1"/>
    <w:p w14:paraId="23E74D76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rPr>
          <w:rFonts w:ascii="Trebuchet MS" w:eastAsia="Times New Roman" w:hAnsi="Trebuchet MS" w:cs="Times New Roman"/>
          <w:bCs/>
          <w:color w:val="154E81"/>
          <w:kern w:val="0"/>
          <w:lang w:eastAsia="bg-BG"/>
          <w14:ligatures w14:val="none"/>
        </w:rPr>
      </w:pPr>
    </w:p>
    <w:p w14:paraId="7B936980" w14:textId="77777777" w:rsidR="00183736" w:rsidRPr="00183736" w:rsidRDefault="00183736" w:rsidP="00183736">
      <w:pPr>
        <w:widowControl w:val="0"/>
        <w:numPr>
          <w:ilvl w:val="1"/>
          <w:numId w:val="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154E81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/>
          <w:color w:val="154E81"/>
          <w:kern w:val="0"/>
          <w:u w:val="thick"/>
          <w:lang w:eastAsia="bg-BG"/>
          <w14:ligatures w14:val="none"/>
        </w:rPr>
        <w:t>АНАЛИЗ НА РЕАЛНИ ПОКАНИ</w:t>
      </w:r>
    </w:p>
    <w:p w14:paraId="61435832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6F9B6A60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След като в предходните два урока бяха разгледани подходите за първоначален анализ на покани и тяхната структура, настоящият урок има за цел да надгради това знание чрез практическото му прилагане при анализ на реални покани.</w:t>
      </w:r>
    </w:p>
    <w:p w14:paraId="384CDA83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Анализът на реални покани представлява процес на систематично разчитане и интерпретиране на конкретни документи за кандидатстване, публикувани в рамките на програми като Erasmus+ и Европейския корпус за солидарност (ESC). Този процес не се изчерпва с механичното прочитане на текста, а включва критична оценка на съдържанието с оглед на съответствието между изискванията на поканата и проектната идея.</w:t>
      </w:r>
    </w:p>
    <w:p w14:paraId="7767B452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В този смисъл анализът на покани представлява междинен етап между формулирането на проектна идея и разработването на проектно предложение. Той има за задача да подпомогне формирането на обоснована преценка дали една възможност е подходяща и реалистична.</w:t>
      </w:r>
    </w:p>
    <w:p w14:paraId="607D9ABC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Практиката показва, че значителна част от неуспешните кандидатури не са резултат от слаба идея, а от недостатъчно добро разбиране на поканата. Именно поради това умението за анализ на реални покани следва да се разглежда като ключова компетентност в процеса на кандидатстване..</w:t>
      </w:r>
    </w:p>
    <w:p w14:paraId="4DA5FC55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73CE2124" w14:textId="77777777" w:rsidR="00183736" w:rsidRPr="00183736" w:rsidRDefault="00183736" w:rsidP="00183736">
      <w:pPr>
        <w:widowControl w:val="0"/>
        <w:numPr>
          <w:ilvl w:val="1"/>
          <w:numId w:val="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/>
          <w:color w:val="00286C"/>
          <w:kern w:val="0"/>
          <w:u w:val="thick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/>
          <w:color w:val="00286C"/>
          <w:kern w:val="0"/>
          <w:u w:val="thick"/>
          <w:lang w:eastAsia="bg-BG"/>
          <w14:ligatures w14:val="none"/>
        </w:rPr>
        <w:t>ВРЪЗКА С ПРЕДИШНИТЕ УРОЦИ</w:t>
      </w:r>
    </w:p>
    <w:p w14:paraId="45DA613B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65D0F7B6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Настоящият урок е пряко свързан с предходните теми, в които бяха разгледани подходите за първоначален анализ на покани и разбирането на тяхната структура и съдържание.</w:t>
      </w:r>
    </w:p>
    <w:p w14:paraId="1CBBF4CF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Докато в предходните уроци фокусът беше върху това как да се ориентираме в поканата и как да разчитаме нейните основни елементи, настоящият урок надгражда това знание чрез прилагането му върху реални примери.</w:t>
      </w:r>
    </w:p>
    <w:p w14:paraId="71AB6E0E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Докато тези елементи се отнасят до разбирането на съдържанието и структурата на поканата, анализът на реални покани въвежда следващото ниво – съпоставянето между изискванията на поканата и проектната идея. С други думи, ако в предходните уроци водещият въпрос беше „Какво съдържа поканата?“, то тук той става „Съвпада ли това, което искаме да реализираме, с това, което се финансира?“.</w:t>
      </w:r>
    </w:p>
    <w:p w14:paraId="58AA0C84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Тази връзка е от съществено значение, тъй като успешното кандидатстване изисква ясно съответствие между изискванията на поканата и възможностите на организацията. Липсата на такова съответствие води до отпадане още на етап допустимост или до ниска оценка по критериите за качество.</w:t>
      </w:r>
    </w:p>
    <w:p w14:paraId="0EAF007E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6AB2A1C3" w14:textId="77777777" w:rsidR="00183736" w:rsidRPr="00183736" w:rsidRDefault="00183736" w:rsidP="00183736">
      <w:pPr>
        <w:widowControl w:val="0"/>
        <w:numPr>
          <w:ilvl w:val="1"/>
          <w:numId w:val="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/>
          <w:color w:val="00286C"/>
          <w:kern w:val="0"/>
          <w:u w:val="thick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/>
          <w:color w:val="00286C"/>
          <w:kern w:val="0"/>
          <w:u w:val="thick"/>
          <w:lang w:eastAsia="bg-BG"/>
          <w14:ligatures w14:val="none"/>
        </w:rPr>
        <w:t>ОСОБЕНОСТИ НА ПОКАНИТЕ ПО ERASMUS+ И ESC</w:t>
      </w:r>
    </w:p>
    <w:p w14:paraId="61F49453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 w:cs="Times New Roman"/>
          <w:b/>
          <w:color w:val="00286C"/>
          <w:kern w:val="0"/>
          <w:u w:val="thick"/>
          <w:lang w:eastAsia="bg-BG"/>
          <w14:ligatures w14:val="none"/>
        </w:rPr>
      </w:pPr>
    </w:p>
    <w:p w14:paraId="7EEB0FDC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 xml:space="preserve">Поканите по програмите Erasmus+ и Европейския корпус за солидарност имат </w:t>
      </w:r>
      <w:r w:rsidRPr="00183736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lastRenderedPageBreak/>
        <w:t>специфични характеристики, които ги отличават от други финансови инструменти.</w:t>
      </w:r>
    </w:p>
    <w:p w14:paraId="1ACC77B7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На първо място, те са силно ориентирани към образователни, младежки и социални цели. Това означава, че финансираните проекти следва да допринасят за развитие на умения, участие на млади хора, социално включване, междукултурен диалог и солидарност.</w:t>
      </w:r>
    </w:p>
    <w:p w14:paraId="311966A5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На второ място, тези програми поставят акцент върху неформалното учене, международното сътрудничество и активното участие на целевите групи. Това се отразява както в допустимите дейности, така и в критериите за оценка.</w:t>
      </w:r>
    </w:p>
    <w:p w14:paraId="3683A680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На трето място, поканите по тези програми са структурирани по действия (например KA1, KA2 при Erasmus+), което изисква ясно разпознаване към кой тип проект се отнася конкретната възможност.</w:t>
      </w:r>
    </w:p>
    <w:p w14:paraId="73975F2E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Разбирането на тези особености е важно, тъй като позволява по-точна интерпретация на съдържанието на поканата и по-реалистична преценка на допустимостта.</w:t>
      </w:r>
    </w:p>
    <w:p w14:paraId="112B4A05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44C36148" w14:textId="77777777" w:rsidR="00183736" w:rsidRPr="00183736" w:rsidRDefault="00183736" w:rsidP="00183736">
      <w:pPr>
        <w:widowControl w:val="0"/>
        <w:numPr>
          <w:ilvl w:val="1"/>
          <w:numId w:val="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/>
          <w:color w:val="5B9BD5"/>
          <w:kern w:val="0"/>
          <w:u w:val="thick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/>
          <w:color w:val="00286C"/>
          <w:kern w:val="0"/>
          <w:u w:val="thick"/>
          <w:lang w:eastAsia="bg-BG"/>
          <w14:ligatures w14:val="none"/>
        </w:rPr>
        <w:t>ПРАКТИЧЕСКИ АНАЛИЗ НА РЕАЛНИ ПОКАНИ ПО CERV</w:t>
      </w:r>
    </w:p>
    <w:p w14:paraId="1677DB3B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color w:val="5B9BD5"/>
          <w:kern w:val="0"/>
          <w:u w:val="thick"/>
          <w:lang w:eastAsia="bg-BG"/>
          <w14:ligatures w14:val="none"/>
        </w:rPr>
      </w:pPr>
    </w:p>
    <w:p w14:paraId="0F221245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Като пример за реален анализ се разглежда актуалната покана по програма</w:t>
      </w:r>
    </w:p>
    <w:p w14:paraId="29239E82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CERV (Citizens, Equality, Rights and Values Programme) – „Мрежи от градове“ (CERV-2026-CITIZENS-TOWN-NT), отворена за кандидатстване на 17 декември 2025 г., със срок за подаване на проектни предложения до 16 април 2026 г.</w:t>
      </w:r>
    </w:p>
    <w:p w14:paraId="5684B8F7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Тази покана представлява типичен пример за процедура, насочена към развитие на дългосрочно сътрудничество между местни власти в рамките на Европейския съюз.</w:t>
      </w:r>
    </w:p>
    <w:p w14:paraId="3CB8D078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19226549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  <w:t>4.1.1. Контекст и цели на поканата</w:t>
      </w:r>
    </w:p>
    <w:p w14:paraId="57946541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Поканата е насочена към изграждане и развитие на мрежи от градове, които да насърчават сътрудничеството, обмена на добри практики и активното участие на гражданите в демократичния процес.</w:t>
      </w:r>
    </w:p>
    <w:p w14:paraId="72FD503E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7AFC4E5C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Конкретните цели включват:</w:t>
      </w:r>
    </w:p>
    <w:p w14:paraId="3C5718BB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745C9AC4" w14:textId="77777777" w:rsidR="00183736" w:rsidRPr="00183736" w:rsidRDefault="00183736" w:rsidP="00183736">
      <w:pPr>
        <w:widowControl w:val="0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насърчаване на обмена между граждани от различни държави и изграждане на усещане за общо европейско бъдеще;</w:t>
      </w:r>
    </w:p>
    <w:p w14:paraId="1FAA536E" w14:textId="77777777" w:rsidR="00183736" w:rsidRPr="00183736" w:rsidRDefault="00183736" w:rsidP="00183736">
      <w:pPr>
        <w:widowControl w:val="0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създаване и развитие на устойчиви мрежи от градове;</w:t>
      </w:r>
    </w:p>
    <w:p w14:paraId="644F711C" w14:textId="77777777" w:rsidR="00183736" w:rsidRPr="00183736" w:rsidRDefault="00183736" w:rsidP="00183736">
      <w:pPr>
        <w:widowControl w:val="0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подкрепа за гражданското участие и участие в създаването на политики на местно ниво;</w:t>
      </w:r>
    </w:p>
    <w:p w14:paraId="56B32A51" w14:textId="77777777" w:rsidR="00183736" w:rsidRPr="00183736" w:rsidRDefault="00183736" w:rsidP="00183736">
      <w:pPr>
        <w:widowControl w:val="0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засилване на диалога по теми като европейски ценности, права и интеграция.</w:t>
      </w:r>
    </w:p>
    <w:p w14:paraId="326B5BE3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Анализът на този раздел показва, че поканата е ясно ориентирана към проекти с силен обществен и демократичен фокус, а не към чисто образователни или инфраструктурни дейности.</w:t>
      </w:r>
    </w:p>
    <w:p w14:paraId="5BB0F3F9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2E8C6F80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  <w:t>4.1.2. Допустими кандидати</w:t>
      </w:r>
    </w:p>
    <w:p w14:paraId="5C9E4562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Поканата определя ясно кръга на допустимите бенефициенти, като включва:</w:t>
      </w:r>
    </w:p>
    <w:p w14:paraId="3ED8B02C" w14:textId="77777777" w:rsidR="00183736" w:rsidRPr="00183736" w:rsidRDefault="00183736" w:rsidP="00183736">
      <w:pPr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градове и общини;</w:t>
      </w:r>
    </w:p>
    <w:p w14:paraId="19EB4D39" w14:textId="77777777" w:rsidR="00183736" w:rsidRPr="00183736" w:rsidRDefault="00183736" w:rsidP="00183736">
      <w:pPr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lastRenderedPageBreak/>
        <w:t>местни власти;</w:t>
      </w:r>
    </w:p>
    <w:p w14:paraId="72FE30E3" w14:textId="77777777" w:rsidR="00183736" w:rsidRPr="00183736" w:rsidRDefault="00183736" w:rsidP="00183736">
      <w:pPr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комитети за побратимяване;</w:t>
      </w:r>
    </w:p>
    <w:p w14:paraId="1CA6629D" w14:textId="77777777" w:rsidR="00183736" w:rsidRPr="00183736" w:rsidRDefault="00183736" w:rsidP="00183736">
      <w:pPr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сдружения на местни власти;</w:t>
      </w:r>
    </w:p>
    <w:p w14:paraId="3621D51C" w14:textId="77777777" w:rsidR="00183736" w:rsidRPr="00183736" w:rsidRDefault="00183736" w:rsidP="00183736">
      <w:pPr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неправителствени организации, представляващи местни власти.</w:t>
      </w:r>
    </w:p>
    <w:p w14:paraId="4AF9763A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Всички кандидати трябва да бъдат регистрирани в държава членка на ЕС или в асоциирана държава по програмата.</w:t>
      </w:r>
    </w:p>
    <w:p w14:paraId="5F396DDA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Особено важно изискване е, че проектите се подават в консорциум, който трябва да включва:</w:t>
      </w:r>
    </w:p>
    <w:p w14:paraId="39383BC8" w14:textId="77777777" w:rsidR="00183736" w:rsidRPr="00183736" w:rsidRDefault="00183736" w:rsidP="00183736">
      <w:pPr>
        <w:widowControl w:val="0"/>
        <w:numPr>
          <w:ilvl w:val="0"/>
          <w:numId w:val="4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минимум 4 партньора;</w:t>
      </w:r>
    </w:p>
    <w:p w14:paraId="3D5A3D99" w14:textId="77777777" w:rsidR="00183736" w:rsidRPr="00183736" w:rsidRDefault="00183736" w:rsidP="00183736">
      <w:pPr>
        <w:widowControl w:val="0"/>
        <w:numPr>
          <w:ilvl w:val="0"/>
          <w:numId w:val="4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от поне 4 различни държави;</w:t>
      </w:r>
    </w:p>
    <w:p w14:paraId="49F9FD89" w14:textId="77777777" w:rsidR="00183736" w:rsidRPr="00183736" w:rsidRDefault="00183736" w:rsidP="00183736">
      <w:pPr>
        <w:widowControl w:val="0"/>
        <w:numPr>
          <w:ilvl w:val="0"/>
          <w:numId w:val="4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като поне 2 от тях трябва да са държави членки на ЕС.</w:t>
      </w:r>
    </w:p>
    <w:p w14:paraId="16803A47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Това изискване представлява ключов критерий за допустимост и на практика изключва възможността за индивидуално кандидатстване.</w:t>
      </w:r>
    </w:p>
    <w:p w14:paraId="50487089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06122133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  <w:t>4.1.3. Допустими дейности</w:t>
      </w:r>
    </w:p>
    <w:p w14:paraId="00904473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Поканата предвижда широк спектър от допустими дейности, които включват:</w:t>
      </w:r>
    </w:p>
    <w:p w14:paraId="399E959E" w14:textId="77777777" w:rsidR="00183736" w:rsidRPr="00183736" w:rsidRDefault="00183736" w:rsidP="00183736">
      <w:pPr>
        <w:widowControl w:val="0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работни срещи, семинари и конференции;</w:t>
      </w:r>
    </w:p>
    <w:p w14:paraId="13DE9DD4" w14:textId="77777777" w:rsidR="00183736" w:rsidRPr="00183736" w:rsidRDefault="00183736" w:rsidP="00183736">
      <w:pPr>
        <w:widowControl w:val="0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обучения и експертни срещи;</w:t>
      </w:r>
    </w:p>
    <w:p w14:paraId="5E597B45" w14:textId="77777777" w:rsidR="00183736" w:rsidRPr="00183736" w:rsidRDefault="00183736" w:rsidP="00183736">
      <w:pPr>
        <w:widowControl w:val="0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уебинари и онлайн формати;</w:t>
      </w:r>
    </w:p>
    <w:p w14:paraId="29DAFB2E" w14:textId="77777777" w:rsidR="00183736" w:rsidRPr="00183736" w:rsidRDefault="00183736" w:rsidP="00183736">
      <w:pPr>
        <w:widowControl w:val="0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кампании за повишаване на осведомеността;</w:t>
      </w:r>
    </w:p>
    <w:p w14:paraId="50E2E9E1" w14:textId="77777777" w:rsidR="00183736" w:rsidRPr="00183736" w:rsidRDefault="00183736" w:rsidP="00183736">
      <w:pPr>
        <w:widowControl w:val="0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събития с висока публична видимост;</w:t>
      </w:r>
    </w:p>
    <w:p w14:paraId="2C33323C" w14:textId="77777777" w:rsidR="00183736" w:rsidRPr="00183736" w:rsidRDefault="00183736" w:rsidP="00183736">
      <w:pPr>
        <w:widowControl w:val="0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събиране на данни и обществени консултации;</w:t>
      </w:r>
    </w:p>
    <w:p w14:paraId="431AE4F0" w14:textId="77777777" w:rsidR="00183736" w:rsidRPr="00183736" w:rsidRDefault="00183736" w:rsidP="00183736">
      <w:pPr>
        <w:widowControl w:val="0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разработване и обмен на добри практики;</w:t>
      </w:r>
    </w:p>
    <w:p w14:paraId="79CDAD6A" w14:textId="77777777" w:rsidR="00183736" w:rsidRPr="00183736" w:rsidRDefault="00183736" w:rsidP="00183736">
      <w:pPr>
        <w:widowControl w:val="0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комуникационни дейности и използване на социални медии.</w:t>
      </w:r>
    </w:p>
    <w:p w14:paraId="6282C0BB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Допълнително изискване е дейностите да се реализират в най-малко две допустими държави, което подчертава транснационалния характер на поканата.</w:t>
      </w:r>
    </w:p>
    <w:p w14:paraId="4D289E46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Анализът на този раздел показва, че проектите следва да имат силно изразен елемент на сътрудничество и обмен, а не да бъдат локални инициативи с ограничен обхват.</w:t>
      </w:r>
    </w:p>
    <w:p w14:paraId="2A4CC331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5DE8E785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  <w:t>4.1.4. Финансови параметри</w:t>
      </w:r>
    </w:p>
    <w:p w14:paraId="4B06C669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Финансирането по процедурата се предоставя под формата на еднократни суми (lump sums), което означава, че не се възстановяват реално направени разходи, а предварително определени суми.</w:t>
      </w:r>
    </w:p>
    <w:p w14:paraId="5DF695F7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Основни параметри:</w:t>
      </w:r>
    </w:p>
    <w:p w14:paraId="57E40D2E" w14:textId="77777777" w:rsidR="00183736" w:rsidRPr="00183736" w:rsidRDefault="00183736" w:rsidP="00183736">
      <w:pPr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общ бюджет: 12 млн. евро;</w:t>
      </w:r>
    </w:p>
    <w:p w14:paraId="62DA7F7E" w14:textId="77777777" w:rsidR="00183736" w:rsidRPr="00183736" w:rsidRDefault="00183736" w:rsidP="00183736">
      <w:pPr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минимален размер на финансирането: 100 000 евро;</w:t>
      </w:r>
    </w:p>
    <w:p w14:paraId="7359E02F" w14:textId="77777777" w:rsidR="00183736" w:rsidRPr="00183736" w:rsidRDefault="00183736" w:rsidP="00183736">
      <w:pPr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максимален размер: без ограничение;</w:t>
      </w:r>
    </w:p>
    <w:p w14:paraId="59FA5BFD" w14:textId="77777777" w:rsidR="00183736" w:rsidRPr="00183736" w:rsidRDefault="00183736" w:rsidP="00183736">
      <w:pPr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очакван брой финансирани проекти: около 120.</w:t>
      </w:r>
    </w:p>
    <w:p w14:paraId="74A7EEEB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Важно условие е, че проектите не трябва да генерират печалба за бенефициентите.</w:t>
      </w:r>
    </w:p>
    <w:p w14:paraId="6985B0CB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Този модел на финансиране изисква добро предварително планиране, тъй като бюджетът се одобрява на база прогнозни стойности.</w:t>
      </w:r>
    </w:p>
    <w:p w14:paraId="48DC4CAA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4675E555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  <w:t>4.1.5. Управление и оценка</w:t>
      </w:r>
    </w:p>
    <w:p w14:paraId="33EBC3F9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lastRenderedPageBreak/>
        <w:t>Процедурата се управлява от European Education and Culture Executive Agency (EACEA) към Европейската комисия.</w:t>
      </w:r>
    </w:p>
    <w:p w14:paraId="76C9F5FB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Оценката се извършва от специализиран комитет и включва:</w:t>
      </w:r>
    </w:p>
    <w:p w14:paraId="3CEE85CF" w14:textId="77777777" w:rsidR="00183736" w:rsidRPr="00183736" w:rsidRDefault="00183736" w:rsidP="00183736">
      <w:pPr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административна допустимост;</w:t>
      </w:r>
    </w:p>
    <w:p w14:paraId="25903822" w14:textId="77777777" w:rsidR="00183736" w:rsidRPr="00183736" w:rsidRDefault="00183736" w:rsidP="00183736">
      <w:pPr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финансов и оперативен капацитет;</w:t>
      </w:r>
    </w:p>
    <w:p w14:paraId="28C63357" w14:textId="77777777" w:rsidR="00183736" w:rsidRPr="00183736" w:rsidRDefault="00183736" w:rsidP="00183736">
      <w:pPr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качествена оценка по критерии:</w:t>
      </w:r>
    </w:p>
    <w:p w14:paraId="56AC52EA" w14:textId="77777777" w:rsidR="00183736" w:rsidRPr="00183736" w:rsidRDefault="00183736" w:rsidP="00183736">
      <w:pPr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уместност;</w:t>
      </w:r>
    </w:p>
    <w:p w14:paraId="2BF5D1B2" w14:textId="77777777" w:rsidR="00183736" w:rsidRPr="00183736" w:rsidRDefault="00183736" w:rsidP="00183736">
      <w:pPr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качество на проекта и изпълнението;</w:t>
      </w:r>
    </w:p>
    <w:p w14:paraId="107A68B7" w14:textId="77777777" w:rsidR="00183736" w:rsidRPr="00183736" w:rsidRDefault="00183736" w:rsidP="00183736">
      <w:pPr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въздействие.</w:t>
      </w:r>
    </w:p>
    <w:p w14:paraId="43100028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Резултатите от оценяването се очакват през октомври 2026 г., което означава сравнително дълъг период между кандидатстване и стартиране на проектите.</w:t>
      </w:r>
    </w:p>
    <w:p w14:paraId="57E2E9E7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373427EC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  <w:t>4.1.6. Срокове и продължителност</w:t>
      </w:r>
    </w:p>
    <w:p w14:paraId="66EC5CE0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Краен срок за кандидатстване: 16 април 2026 г., 17:00 ч. (CET);</w:t>
      </w:r>
    </w:p>
    <w:p w14:paraId="14B3FCE8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продължителност на проектите: между 12 и 24 месеца.</w:t>
      </w:r>
    </w:p>
    <w:p w14:paraId="57FA099A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Този времеви хоризонт предполага средносрочно планиране и устойчивост на партньорствата.</w:t>
      </w:r>
    </w:p>
    <w:p w14:paraId="2E4F3110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2F19FDAB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  <w:t>4.1.7. Обобщена преценка на допустимостта</w:t>
      </w:r>
    </w:p>
    <w:p w14:paraId="13254E35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</w:pPr>
    </w:p>
    <w:p w14:paraId="19360CDD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Анализът на поканата показва, че тя е подходяща за организации, които:</w:t>
      </w:r>
    </w:p>
    <w:p w14:paraId="49984A4F" w14:textId="77777777" w:rsidR="00183736" w:rsidRPr="00183736" w:rsidRDefault="00183736" w:rsidP="00183736">
      <w:pPr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работят в партньорство с местни власти;</w:t>
      </w:r>
    </w:p>
    <w:p w14:paraId="7267923C" w14:textId="77777777" w:rsidR="00183736" w:rsidRPr="00183736" w:rsidRDefault="00183736" w:rsidP="00183736">
      <w:pPr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имат изградени международни контакти;</w:t>
      </w:r>
    </w:p>
    <w:p w14:paraId="0A620A53" w14:textId="77777777" w:rsidR="00183736" w:rsidRPr="00183736" w:rsidRDefault="00183736" w:rsidP="00183736">
      <w:pPr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могат да формират консорциум от минимум 4 държави;</w:t>
      </w:r>
    </w:p>
    <w:p w14:paraId="6E32D5CF" w14:textId="77777777" w:rsidR="00183736" w:rsidRPr="00183736" w:rsidRDefault="00183736" w:rsidP="00183736">
      <w:pPr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имат капацитет за управление на проект със значителен бюджет;</w:t>
      </w:r>
    </w:p>
    <w:p w14:paraId="2F41673A" w14:textId="77777777" w:rsidR="00183736" w:rsidRPr="00183736" w:rsidRDefault="00183736" w:rsidP="00183736">
      <w:pPr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реализират дейности, свързани с гражданско участие и европейски ценности.</w:t>
      </w:r>
    </w:p>
    <w:p w14:paraId="7B21EDD0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5FAD4B48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В същото време поканата не е подходяща за:</w:t>
      </w:r>
    </w:p>
    <w:p w14:paraId="162DF9C7" w14:textId="77777777" w:rsidR="00183736" w:rsidRPr="00183736" w:rsidRDefault="00183736" w:rsidP="00183736">
      <w:pPr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малки организации без международни партньори;</w:t>
      </w:r>
    </w:p>
    <w:p w14:paraId="7CD3FAFD" w14:textId="77777777" w:rsidR="00183736" w:rsidRPr="00183736" w:rsidRDefault="00183736" w:rsidP="00183736">
      <w:pPr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проекти с локален характер;</w:t>
      </w:r>
    </w:p>
    <w:p w14:paraId="6B50C8D9" w14:textId="77777777" w:rsidR="00183736" w:rsidRPr="00183736" w:rsidRDefault="00183736" w:rsidP="00183736">
      <w:pPr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инициативи без връзка с демократично участие или политики.</w:t>
      </w:r>
    </w:p>
    <w:p w14:paraId="1536204D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5881DA00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  <w:t>4.1.8. Практически извод</w:t>
      </w:r>
    </w:p>
    <w:p w14:paraId="08951C67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Тази покана ясно илюстрира как една възможност може да бъде тематично привлекателна, но практически недостъпна за определени типове организации.</w:t>
      </w:r>
    </w:p>
    <w:p w14:paraId="5B6F4C32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Следователно, анализът на подобни процедури позволява да се направи реалистична преценка и да се избегне участие в инициативи, които надхвърлят капацитета на кандидата.</w:t>
      </w:r>
    </w:p>
    <w:p w14:paraId="57CAFD85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216CAB9D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color w:val="154E81"/>
          <w:kern w:val="0"/>
          <w:u w:val="thick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 xml:space="preserve">4.2. </w:t>
      </w:r>
      <w:r w:rsidRPr="00183736">
        <w:rPr>
          <w:rFonts w:ascii="Trebuchet MS" w:eastAsia="Times New Roman" w:hAnsi="Trebuchet MS" w:cs="Times New Roman"/>
          <w:b/>
          <w:color w:val="154E81"/>
          <w:kern w:val="0"/>
          <w:u w:val="thick"/>
          <w:lang w:eastAsia="bg-BG"/>
          <w14:ligatures w14:val="none"/>
        </w:rPr>
        <w:t>ПРАКТИЧЕСКИ АНАЛИЗ НА АКТУАЛНИ ПОКАНИ ПО ERASMUS+ (2026)</w:t>
      </w:r>
    </w:p>
    <w:p w14:paraId="610066C6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6773915E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В този раздел се разглеждат две конкретни покани по Erasmus+, които са актуални за 2026 г. със срок 05 март 2026г.:</w:t>
      </w:r>
    </w:p>
    <w:p w14:paraId="579CC260" w14:textId="77777777" w:rsidR="00183736" w:rsidRPr="00183736" w:rsidRDefault="00183736" w:rsidP="00183736">
      <w:pPr>
        <w:widowControl w:val="0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„Малки партньорства“ (KA210)</w:t>
      </w:r>
    </w:p>
    <w:p w14:paraId="33D9C70D" w14:textId="77777777" w:rsidR="00183736" w:rsidRPr="00183736" w:rsidRDefault="00183736" w:rsidP="00183736">
      <w:pPr>
        <w:widowControl w:val="0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lastRenderedPageBreak/>
        <w:t>„Партньорства за сътрудничество“ (KA220)</w:t>
      </w:r>
    </w:p>
    <w:p w14:paraId="44B5FFF6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152949BA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Целта е да се покаже реална разлика между тях и да се направи практическа преценка кога коя покана е подходяща.</w:t>
      </w:r>
    </w:p>
    <w:p w14:paraId="6BFE1160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0CED818B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  <w:t>4.2.1. Покана „Малки партньорства“ (KA210)</w:t>
      </w:r>
    </w:p>
    <w:p w14:paraId="0E8F7A1B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Поканата за малки партньорства представлява една от най-достъпните възможности в програмата и е насочена към организации с по-малък опит или ограничен капацитет.</w:t>
      </w:r>
    </w:p>
    <w:p w14:paraId="314C11A9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4E4E4E8B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  <w:t>Идентификация и срок</w:t>
      </w:r>
    </w:p>
    <w:p w14:paraId="2D2815A5" w14:textId="77777777" w:rsidR="00183736" w:rsidRPr="00183736" w:rsidRDefault="00183736" w:rsidP="00183736">
      <w:pPr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краен срок: 05.03.2026 г., 13:00 ч.</w:t>
      </w:r>
    </w:p>
    <w:p w14:paraId="75D32B09" w14:textId="77777777" w:rsidR="00183736" w:rsidRPr="00183736" w:rsidRDefault="00183736" w:rsidP="00183736">
      <w:pPr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ключова дейност: KA2</w:t>
      </w:r>
    </w:p>
    <w:p w14:paraId="4126FF24" w14:textId="77777777" w:rsidR="00183736" w:rsidRPr="00183736" w:rsidRDefault="00183736" w:rsidP="00183736">
      <w:pPr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сектори: училищно образование, ПОО, образование за възрастни, младеж</w:t>
      </w:r>
    </w:p>
    <w:p w14:paraId="1016E01F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58A0C925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  <w:t>Допустими кандидати:</w:t>
      </w:r>
    </w:p>
    <w:p w14:paraId="2B518003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70A8B852" w14:textId="77777777" w:rsidR="00183736" w:rsidRPr="00183736" w:rsidRDefault="00183736" w:rsidP="00183736">
      <w:pPr>
        <w:widowControl w:val="0"/>
        <w:numPr>
          <w:ilvl w:val="0"/>
          <w:numId w:val="12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всички публични и частни организации;</w:t>
      </w:r>
    </w:p>
    <w:p w14:paraId="13B41BB3" w14:textId="77777777" w:rsidR="00183736" w:rsidRPr="00183736" w:rsidRDefault="00183736" w:rsidP="00183736">
      <w:pPr>
        <w:widowControl w:val="0"/>
        <w:numPr>
          <w:ilvl w:val="0"/>
          <w:numId w:val="12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установени в държави от ЕС или асоциирани страни;</w:t>
      </w:r>
    </w:p>
    <w:p w14:paraId="7F9769E1" w14:textId="77777777" w:rsidR="00183736" w:rsidRPr="00183736" w:rsidRDefault="00183736" w:rsidP="00183736">
      <w:pPr>
        <w:widowControl w:val="0"/>
        <w:numPr>
          <w:ilvl w:val="0"/>
          <w:numId w:val="12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кандидатства се чрез консорциум.</w:t>
      </w:r>
    </w:p>
    <w:p w14:paraId="6EC5E45B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38D66E92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  <w:t>Важно ограничение:</w:t>
      </w:r>
    </w:p>
    <w:p w14:paraId="155CA617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една организация може да подаде само 1 проект като координатор;</w:t>
      </w:r>
    </w:p>
    <w:p w14:paraId="1E5C8C09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може да участва максимум в 5 проекта общо като партньор.</w:t>
      </w:r>
    </w:p>
    <w:p w14:paraId="5F74FA47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  <w:t>Партньорство</w:t>
      </w:r>
    </w:p>
    <w:p w14:paraId="25B25ACC" w14:textId="77777777" w:rsidR="00183736" w:rsidRPr="00183736" w:rsidRDefault="00183736" w:rsidP="00183736">
      <w:pPr>
        <w:widowControl w:val="0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минимум 2 организации от 2 различни държави</w:t>
      </w:r>
    </w:p>
    <w:p w14:paraId="46521841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56794EC7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  <w:t>Продължителност</w:t>
      </w:r>
    </w:p>
    <w:p w14:paraId="06D007FB" w14:textId="77777777" w:rsidR="00183736" w:rsidRPr="00183736" w:rsidRDefault="00183736" w:rsidP="00183736">
      <w:pPr>
        <w:widowControl w:val="0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между 6 и 24 месеца</w:t>
      </w:r>
    </w:p>
    <w:p w14:paraId="75CED9EF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1B8B970B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  <w:t>Малките партньорства са насочени към:</w:t>
      </w:r>
    </w:p>
    <w:p w14:paraId="552E4627" w14:textId="77777777" w:rsidR="00183736" w:rsidRPr="00183736" w:rsidRDefault="00183736" w:rsidP="00183736">
      <w:pPr>
        <w:widowControl w:val="0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пилотни идеи</w:t>
      </w:r>
    </w:p>
    <w:p w14:paraId="6B46391B" w14:textId="77777777" w:rsidR="00183736" w:rsidRPr="00183736" w:rsidRDefault="00183736" w:rsidP="00183736">
      <w:pPr>
        <w:widowControl w:val="0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малки инициативи</w:t>
      </w:r>
    </w:p>
    <w:p w14:paraId="0009B314" w14:textId="77777777" w:rsidR="00183736" w:rsidRPr="00183736" w:rsidRDefault="00183736" w:rsidP="00183736">
      <w:pPr>
        <w:widowControl w:val="0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първи международни проекти</w:t>
      </w:r>
    </w:p>
    <w:p w14:paraId="0F27B9E5" w14:textId="77777777" w:rsidR="00183736" w:rsidRPr="00183736" w:rsidRDefault="00183736" w:rsidP="00183736">
      <w:pPr>
        <w:widowControl w:val="0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обмен на опит</w:t>
      </w:r>
    </w:p>
    <w:p w14:paraId="02133F71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37758A7E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Не се очаква постигане на висока степен на сложност или значително въздействие, характерно за по-мащабните проекти.</w:t>
      </w:r>
    </w:p>
    <w:p w14:paraId="334ECD27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71210D1C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  <w:t>Практическа преценка</w:t>
      </w:r>
    </w:p>
    <w:p w14:paraId="1C00D100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Поканата е подходяща когато:</w:t>
      </w:r>
    </w:p>
    <w:p w14:paraId="665EC124" w14:textId="77777777" w:rsidR="00183736" w:rsidRPr="00183736" w:rsidRDefault="00183736" w:rsidP="00183736">
      <w:pPr>
        <w:widowControl w:val="0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организацията е нова в Erasmus+</w:t>
      </w:r>
    </w:p>
    <w:p w14:paraId="5C24819B" w14:textId="77777777" w:rsidR="00183736" w:rsidRPr="00183736" w:rsidRDefault="00183736" w:rsidP="00183736">
      <w:pPr>
        <w:widowControl w:val="0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няма много партньори</w:t>
      </w:r>
    </w:p>
    <w:p w14:paraId="7F8CF6FD" w14:textId="77777777" w:rsidR="00183736" w:rsidRPr="00183736" w:rsidRDefault="00183736" w:rsidP="00183736">
      <w:pPr>
        <w:widowControl w:val="0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идеята е малка по мащаб</w:t>
      </w:r>
    </w:p>
    <w:p w14:paraId="5DEC4663" w14:textId="77777777" w:rsidR="00183736" w:rsidRPr="00183736" w:rsidRDefault="00183736" w:rsidP="00183736">
      <w:pPr>
        <w:widowControl w:val="0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няма административен капацитет</w:t>
      </w:r>
    </w:p>
    <w:p w14:paraId="4C55352E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7BE61128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rebuchet MS"/>
          <w:bCs/>
          <w:color w:val="000000"/>
          <w:kern w:val="0"/>
          <w:lang w:eastAsia="bg-BG"/>
          <w14:ligatures w14:val="none"/>
        </w:rPr>
        <w:t>Не</w:t>
      </w: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 xml:space="preserve"> </w:t>
      </w:r>
      <w:r w:rsidRPr="00183736">
        <w:rPr>
          <w:rFonts w:ascii="Trebuchet MS" w:eastAsia="Times New Roman" w:hAnsi="Trebuchet MS" w:cs="Trebuchet MS"/>
          <w:bCs/>
          <w:color w:val="000000"/>
          <w:kern w:val="0"/>
          <w:lang w:eastAsia="bg-BG"/>
          <w14:ligatures w14:val="none"/>
        </w:rPr>
        <w:t>е</w:t>
      </w: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 xml:space="preserve"> </w:t>
      </w:r>
      <w:r w:rsidRPr="00183736">
        <w:rPr>
          <w:rFonts w:ascii="Trebuchet MS" w:eastAsia="Times New Roman" w:hAnsi="Trebuchet MS" w:cs="Trebuchet MS"/>
          <w:bCs/>
          <w:color w:val="000000"/>
          <w:kern w:val="0"/>
          <w:lang w:eastAsia="bg-BG"/>
          <w14:ligatures w14:val="none"/>
        </w:rPr>
        <w:t>подходяща</w:t>
      </w: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 xml:space="preserve"> </w:t>
      </w:r>
      <w:r w:rsidRPr="00183736">
        <w:rPr>
          <w:rFonts w:ascii="Trebuchet MS" w:eastAsia="Times New Roman" w:hAnsi="Trebuchet MS" w:cs="Trebuchet MS"/>
          <w:bCs/>
          <w:color w:val="000000"/>
          <w:kern w:val="0"/>
          <w:lang w:eastAsia="bg-BG"/>
          <w14:ligatures w14:val="none"/>
        </w:rPr>
        <w:t>когато</w:t>
      </w: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:</w:t>
      </w:r>
    </w:p>
    <w:p w14:paraId="442D1781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10EB7FF7" w14:textId="77777777" w:rsidR="00183736" w:rsidRPr="00183736" w:rsidRDefault="00183736" w:rsidP="00183736">
      <w:pPr>
        <w:widowControl w:val="0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проектът е голям и сложен</w:t>
      </w:r>
    </w:p>
    <w:p w14:paraId="3598E0E0" w14:textId="77777777" w:rsidR="00183736" w:rsidRPr="00183736" w:rsidRDefault="00183736" w:rsidP="00183736">
      <w:pPr>
        <w:widowControl w:val="0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търси се сериозно въздействие</w:t>
      </w:r>
    </w:p>
    <w:p w14:paraId="44F7C96A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70F6D1C1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  <w:t>4.2.2. Покана „Партньорства за сътрудничество“ (KA220)</w:t>
      </w:r>
    </w:p>
    <w:p w14:paraId="47D9C8AE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Тази покана е основният инструмент за по-големи и стратегически проекти.</w:t>
      </w:r>
    </w:p>
    <w:p w14:paraId="08F4A6E3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2CB3069E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  <w:t>Идентификация и срок</w:t>
      </w:r>
    </w:p>
    <w:p w14:paraId="6B119F0E" w14:textId="77777777" w:rsidR="00183736" w:rsidRPr="00183736" w:rsidRDefault="00183736" w:rsidP="00183736">
      <w:pPr>
        <w:widowControl w:val="0"/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краен срок: 05.03.2026 г., 13:00 ч.</w:t>
      </w:r>
    </w:p>
    <w:p w14:paraId="1E0FDD1D" w14:textId="77777777" w:rsidR="00183736" w:rsidRPr="00183736" w:rsidRDefault="00183736" w:rsidP="00183736">
      <w:pPr>
        <w:widowControl w:val="0"/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ключова дейност: KA2</w:t>
      </w:r>
    </w:p>
    <w:p w14:paraId="61A27348" w14:textId="77777777" w:rsidR="00183736" w:rsidRPr="00183736" w:rsidRDefault="00183736" w:rsidP="00183736">
      <w:pPr>
        <w:widowControl w:val="0"/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сектори: образование, младеж, висше образование</w:t>
      </w:r>
    </w:p>
    <w:p w14:paraId="302D7184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5A689F0E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  <w:t>Допустими кандидати</w:t>
      </w:r>
    </w:p>
    <w:p w14:paraId="7AAACE93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всички публични и частни организации;</w:t>
      </w:r>
    </w:p>
    <w:p w14:paraId="05C3CC3A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кандидатстващата организация трябва да има най-малко 2 години съществуване</w:t>
      </w:r>
    </w:p>
    <w:p w14:paraId="437E730F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6510E3CF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  <w:t>Партньорство</w:t>
      </w:r>
    </w:p>
    <w:p w14:paraId="5400627A" w14:textId="77777777" w:rsidR="00183736" w:rsidRPr="00183736" w:rsidRDefault="00183736" w:rsidP="00183736">
      <w:pPr>
        <w:widowControl w:val="0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минимум 3 организации от 3 различни държави</w:t>
      </w:r>
    </w:p>
    <w:p w14:paraId="2DCEB9D7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6EBC2693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  <w:t>Ограничения:</w:t>
      </w:r>
    </w:p>
    <w:p w14:paraId="4320BB74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59C43A44" w14:textId="77777777" w:rsidR="00183736" w:rsidRPr="00183736" w:rsidRDefault="00183736" w:rsidP="00183736">
      <w:pPr>
        <w:widowControl w:val="0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една организация може да участва като партньор в до 10 проекта</w:t>
      </w:r>
    </w:p>
    <w:p w14:paraId="57FC1679" w14:textId="77777777" w:rsidR="00183736" w:rsidRPr="00183736" w:rsidRDefault="00183736" w:rsidP="00183736">
      <w:pPr>
        <w:widowControl w:val="0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като водеща организация само веднъж</w:t>
      </w:r>
    </w:p>
    <w:p w14:paraId="7CF6FCA4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2A4713DE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  <w:t>Продължителност</w:t>
      </w:r>
    </w:p>
    <w:p w14:paraId="03D201E5" w14:textId="77777777" w:rsidR="00183736" w:rsidRPr="00183736" w:rsidRDefault="00183736" w:rsidP="00183736">
      <w:pPr>
        <w:widowControl w:val="0"/>
        <w:numPr>
          <w:ilvl w:val="0"/>
          <w:numId w:val="18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между 12 и 36 месеца</w:t>
      </w:r>
    </w:p>
    <w:p w14:paraId="2A9F644B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3FD74A44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По тази програма се очакват:</w:t>
      </w:r>
    </w:p>
    <w:p w14:paraId="4148F54F" w14:textId="77777777" w:rsidR="00183736" w:rsidRPr="00183736" w:rsidRDefault="00183736" w:rsidP="00183736">
      <w:pPr>
        <w:widowControl w:val="0"/>
        <w:numPr>
          <w:ilvl w:val="0"/>
          <w:numId w:val="18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по-сложни дейности</w:t>
      </w:r>
    </w:p>
    <w:p w14:paraId="26F7B30A" w14:textId="77777777" w:rsidR="00183736" w:rsidRPr="00183736" w:rsidRDefault="00183736" w:rsidP="00183736">
      <w:pPr>
        <w:widowControl w:val="0"/>
        <w:numPr>
          <w:ilvl w:val="0"/>
          <w:numId w:val="18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разработване на резултати</w:t>
      </w:r>
    </w:p>
    <w:p w14:paraId="079C4A39" w14:textId="77777777" w:rsidR="00183736" w:rsidRPr="00183736" w:rsidRDefault="00183736" w:rsidP="00183736">
      <w:pPr>
        <w:widowControl w:val="0"/>
        <w:numPr>
          <w:ilvl w:val="0"/>
          <w:numId w:val="18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иновации</w:t>
      </w:r>
    </w:p>
    <w:p w14:paraId="11D81A0B" w14:textId="77777777" w:rsidR="00183736" w:rsidRPr="00183736" w:rsidRDefault="00183736" w:rsidP="00183736">
      <w:pPr>
        <w:widowControl w:val="0"/>
        <w:numPr>
          <w:ilvl w:val="0"/>
          <w:numId w:val="18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устойчиво въздействие</w:t>
      </w:r>
    </w:p>
    <w:p w14:paraId="2A6BC75A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03CB99BF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Тези проекти се характеризират с по-висока степен на сложност, стратегическа насоченост и изискване за устойчиви резултати.</w:t>
      </w:r>
    </w:p>
    <w:p w14:paraId="34D5E3E4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0C9481D1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/>
          <w:color w:val="000000"/>
          <w:kern w:val="0"/>
          <w:lang w:eastAsia="bg-BG"/>
          <w14:ligatures w14:val="none"/>
        </w:rPr>
        <w:t>Практическа преценка</w:t>
      </w:r>
    </w:p>
    <w:p w14:paraId="3844D630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43D9D02C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Поканата е подходяща когато:</w:t>
      </w:r>
    </w:p>
    <w:p w14:paraId="1613EE92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15B40E90" w14:textId="77777777" w:rsidR="00183736" w:rsidRPr="00183736" w:rsidRDefault="00183736" w:rsidP="00183736">
      <w:pPr>
        <w:widowControl w:val="0"/>
        <w:numPr>
          <w:ilvl w:val="0"/>
          <w:numId w:val="19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организацията има опит</w:t>
      </w:r>
    </w:p>
    <w:p w14:paraId="379F74A4" w14:textId="77777777" w:rsidR="00183736" w:rsidRPr="00183736" w:rsidRDefault="00183736" w:rsidP="00183736">
      <w:pPr>
        <w:widowControl w:val="0"/>
        <w:numPr>
          <w:ilvl w:val="0"/>
          <w:numId w:val="19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има изградени партньорства</w:t>
      </w:r>
    </w:p>
    <w:p w14:paraId="7B4A989B" w14:textId="77777777" w:rsidR="00183736" w:rsidRPr="00183736" w:rsidRDefault="00183736" w:rsidP="00183736">
      <w:pPr>
        <w:widowControl w:val="0"/>
        <w:numPr>
          <w:ilvl w:val="0"/>
          <w:numId w:val="19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може да управлява сложен проект</w:t>
      </w:r>
    </w:p>
    <w:p w14:paraId="77CD7B20" w14:textId="77777777" w:rsidR="00183736" w:rsidRPr="00183736" w:rsidRDefault="00183736" w:rsidP="00183736">
      <w:pPr>
        <w:widowControl w:val="0"/>
        <w:numPr>
          <w:ilvl w:val="0"/>
          <w:numId w:val="19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lastRenderedPageBreak/>
        <w:t>има ясна стратегия</w:t>
      </w:r>
    </w:p>
    <w:p w14:paraId="20F96E8B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1C127DF9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rebuchet MS"/>
          <w:bCs/>
          <w:color w:val="000000"/>
          <w:kern w:val="0"/>
          <w:lang w:eastAsia="bg-BG"/>
          <w14:ligatures w14:val="none"/>
        </w:rPr>
        <w:t>Не</w:t>
      </w: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 xml:space="preserve"> </w:t>
      </w:r>
      <w:r w:rsidRPr="00183736">
        <w:rPr>
          <w:rFonts w:ascii="Trebuchet MS" w:eastAsia="Times New Roman" w:hAnsi="Trebuchet MS" w:cs="Trebuchet MS"/>
          <w:bCs/>
          <w:color w:val="000000"/>
          <w:kern w:val="0"/>
          <w:lang w:eastAsia="bg-BG"/>
          <w14:ligatures w14:val="none"/>
        </w:rPr>
        <w:t>е</w:t>
      </w: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 xml:space="preserve"> </w:t>
      </w:r>
      <w:r w:rsidRPr="00183736">
        <w:rPr>
          <w:rFonts w:ascii="Trebuchet MS" w:eastAsia="Times New Roman" w:hAnsi="Trebuchet MS" w:cs="Trebuchet MS"/>
          <w:bCs/>
          <w:color w:val="000000"/>
          <w:kern w:val="0"/>
          <w:lang w:eastAsia="bg-BG"/>
          <w14:ligatures w14:val="none"/>
        </w:rPr>
        <w:t>подходяща</w:t>
      </w: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 xml:space="preserve"> </w:t>
      </w:r>
      <w:r w:rsidRPr="00183736">
        <w:rPr>
          <w:rFonts w:ascii="Trebuchet MS" w:eastAsia="Times New Roman" w:hAnsi="Trebuchet MS" w:cs="Trebuchet MS"/>
          <w:bCs/>
          <w:color w:val="000000"/>
          <w:kern w:val="0"/>
          <w:lang w:eastAsia="bg-BG"/>
          <w14:ligatures w14:val="none"/>
        </w:rPr>
        <w:t>когато</w:t>
      </w: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:</w:t>
      </w:r>
    </w:p>
    <w:p w14:paraId="0C778B22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61214A60" w14:textId="77777777" w:rsidR="00183736" w:rsidRPr="00183736" w:rsidRDefault="00183736" w:rsidP="00183736">
      <w:pPr>
        <w:widowControl w:val="0"/>
        <w:numPr>
          <w:ilvl w:val="0"/>
          <w:numId w:val="20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организацията е начинаеща</w:t>
      </w:r>
    </w:p>
    <w:p w14:paraId="552F3976" w14:textId="77777777" w:rsidR="00183736" w:rsidRPr="00183736" w:rsidRDefault="00183736" w:rsidP="00183736">
      <w:pPr>
        <w:widowControl w:val="0"/>
        <w:numPr>
          <w:ilvl w:val="0"/>
          <w:numId w:val="20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няма партньори</w:t>
      </w:r>
    </w:p>
    <w:p w14:paraId="0FBC55FC" w14:textId="77777777" w:rsidR="00183736" w:rsidRPr="00183736" w:rsidRDefault="00183736" w:rsidP="00183736">
      <w:pPr>
        <w:widowControl w:val="0"/>
        <w:numPr>
          <w:ilvl w:val="0"/>
          <w:numId w:val="20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няма капацитет</w:t>
      </w:r>
    </w:p>
    <w:p w14:paraId="473B7086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4E58A590" w14:textId="77777777" w:rsidR="00183736" w:rsidRPr="00183736" w:rsidRDefault="00183736" w:rsidP="00183736">
      <w:pPr>
        <w:spacing w:after="0" w:line="240" w:lineRule="auto"/>
        <w:rPr>
          <w:rFonts w:ascii="Trebuchet MS" w:eastAsia="Times New Roman" w:hAnsi="Trebuchet MS" w:cs="Times New Roman"/>
          <w:b/>
          <w:bCs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/>
          <w:bCs/>
          <w:kern w:val="0"/>
          <w:lang w:eastAsia="bg-BG"/>
          <w14:ligatures w14:val="none"/>
        </w:rPr>
        <w:t>4.2.3. СРАВНИТЕЛЕН АНАЛИЗ НА ПРОГРАМИТЕ CERV, ЕРАЗЪМ + KA210 И ЕРАЗЪМ + KA220</w:t>
      </w:r>
    </w:p>
    <w:p w14:paraId="39D459D5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2"/>
        <w:gridCol w:w="2273"/>
        <w:gridCol w:w="2166"/>
        <w:gridCol w:w="2471"/>
      </w:tblGrid>
      <w:tr w:rsidR="00183736" w:rsidRPr="00183736" w14:paraId="5BFE21C0" w14:textId="77777777" w:rsidTr="0005066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2871606" w14:textId="77777777" w:rsidR="00183736" w:rsidRPr="00183736" w:rsidRDefault="00183736" w:rsidP="0018373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b/>
                <w:bCs/>
                <w:kern w:val="0"/>
                <w:lang w:eastAsia="bg-BG"/>
                <w14:ligatures w14:val="none"/>
              </w:rPr>
              <w:t>Елемент</w:t>
            </w:r>
          </w:p>
        </w:tc>
        <w:tc>
          <w:tcPr>
            <w:tcW w:w="0" w:type="auto"/>
            <w:vAlign w:val="center"/>
            <w:hideMark/>
          </w:tcPr>
          <w:p w14:paraId="3364AF42" w14:textId="77777777" w:rsidR="00183736" w:rsidRPr="00183736" w:rsidRDefault="00183736" w:rsidP="0018373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b/>
                <w:bCs/>
                <w:kern w:val="0"/>
                <w:lang w:eastAsia="bg-BG"/>
                <w14:ligatures w14:val="none"/>
              </w:rPr>
              <w:t>CERV – Мрежи от градове</w:t>
            </w:r>
          </w:p>
        </w:tc>
        <w:tc>
          <w:tcPr>
            <w:tcW w:w="0" w:type="auto"/>
            <w:vAlign w:val="center"/>
            <w:hideMark/>
          </w:tcPr>
          <w:p w14:paraId="38A450F7" w14:textId="77777777" w:rsidR="00183736" w:rsidRPr="00183736" w:rsidRDefault="00183736" w:rsidP="0018373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b/>
                <w:bCs/>
                <w:kern w:val="0"/>
                <w:lang w:eastAsia="bg-BG"/>
                <w14:ligatures w14:val="none"/>
              </w:rPr>
              <w:t>KA210 – Малки партньорства</w:t>
            </w:r>
          </w:p>
        </w:tc>
        <w:tc>
          <w:tcPr>
            <w:tcW w:w="0" w:type="auto"/>
            <w:vAlign w:val="center"/>
            <w:hideMark/>
          </w:tcPr>
          <w:p w14:paraId="12C2F358" w14:textId="77777777" w:rsidR="00183736" w:rsidRPr="00183736" w:rsidRDefault="00183736" w:rsidP="0018373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b/>
                <w:bCs/>
                <w:kern w:val="0"/>
                <w:lang w:eastAsia="bg-BG"/>
                <w14:ligatures w14:val="none"/>
              </w:rPr>
              <w:t>KA220 – Партньорства за сътрудничество</w:t>
            </w:r>
          </w:p>
        </w:tc>
      </w:tr>
      <w:tr w:rsidR="00183736" w:rsidRPr="00183736" w14:paraId="2BFAA766" w14:textId="77777777" w:rsidTr="000506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61B817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Програма</w:t>
            </w:r>
          </w:p>
        </w:tc>
        <w:tc>
          <w:tcPr>
            <w:tcW w:w="0" w:type="auto"/>
            <w:vAlign w:val="center"/>
            <w:hideMark/>
          </w:tcPr>
          <w:p w14:paraId="22E00F11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CERV (Citizens, Equality, Rights and Values Programme)</w:t>
            </w:r>
          </w:p>
        </w:tc>
        <w:tc>
          <w:tcPr>
            <w:tcW w:w="0" w:type="auto"/>
            <w:vAlign w:val="center"/>
            <w:hideMark/>
          </w:tcPr>
          <w:p w14:paraId="08AEC84F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Erasmus+</w:t>
            </w:r>
          </w:p>
        </w:tc>
        <w:tc>
          <w:tcPr>
            <w:tcW w:w="0" w:type="auto"/>
            <w:vAlign w:val="center"/>
            <w:hideMark/>
          </w:tcPr>
          <w:p w14:paraId="34473CF7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Erasmus+</w:t>
            </w:r>
          </w:p>
        </w:tc>
      </w:tr>
      <w:tr w:rsidR="00183736" w:rsidRPr="00183736" w14:paraId="489894E2" w14:textId="77777777" w:rsidTr="000506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F4BB76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Основна цел</w:t>
            </w:r>
          </w:p>
        </w:tc>
        <w:tc>
          <w:tcPr>
            <w:tcW w:w="0" w:type="auto"/>
            <w:vAlign w:val="center"/>
            <w:hideMark/>
          </w:tcPr>
          <w:p w14:paraId="4CC87BAD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гражданско участие, демокрация, политики</w:t>
            </w:r>
          </w:p>
        </w:tc>
        <w:tc>
          <w:tcPr>
            <w:tcW w:w="0" w:type="auto"/>
            <w:vAlign w:val="center"/>
            <w:hideMark/>
          </w:tcPr>
          <w:p w14:paraId="423D8592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обмен, учене, малки инициативи</w:t>
            </w:r>
          </w:p>
        </w:tc>
        <w:tc>
          <w:tcPr>
            <w:tcW w:w="0" w:type="auto"/>
            <w:vAlign w:val="center"/>
            <w:hideMark/>
          </w:tcPr>
          <w:p w14:paraId="4D3A1731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сътрудничество, иновации, въздействие</w:t>
            </w:r>
          </w:p>
        </w:tc>
      </w:tr>
      <w:tr w:rsidR="00183736" w:rsidRPr="00183736" w14:paraId="714D185B" w14:textId="77777777" w:rsidTr="000506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947307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Размер на проекта</w:t>
            </w:r>
          </w:p>
        </w:tc>
        <w:tc>
          <w:tcPr>
            <w:tcW w:w="0" w:type="auto"/>
            <w:vAlign w:val="center"/>
            <w:hideMark/>
          </w:tcPr>
          <w:p w14:paraId="7A0D8D9C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много голям</w:t>
            </w:r>
          </w:p>
        </w:tc>
        <w:tc>
          <w:tcPr>
            <w:tcW w:w="0" w:type="auto"/>
            <w:vAlign w:val="center"/>
            <w:hideMark/>
          </w:tcPr>
          <w:p w14:paraId="74FE911B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малък</w:t>
            </w:r>
          </w:p>
        </w:tc>
        <w:tc>
          <w:tcPr>
            <w:tcW w:w="0" w:type="auto"/>
            <w:vAlign w:val="center"/>
            <w:hideMark/>
          </w:tcPr>
          <w:p w14:paraId="6511A753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среден към голям</w:t>
            </w:r>
          </w:p>
        </w:tc>
      </w:tr>
      <w:tr w:rsidR="00183736" w:rsidRPr="00183736" w14:paraId="4B4D4866" w14:textId="77777777" w:rsidTr="000506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AC48E8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Минимум партньори</w:t>
            </w:r>
          </w:p>
        </w:tc>
        <w:tc>
          <w:tcPr>
            <w:tcW w:w="0" w:type="auto"/>
            <w:vAlign w:val="center"/>
            <w:hideMark/>
          </w:tcPr>
          <w:p w14:paraId="2D75AAD9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4 организации от 4 държави</w:t>
            </w:r>
          </w:p>
        </w:tc>
        <w:tc>
          <w:tcPr>
            <w:tcW w:w="0" w:type="auto"/>
            <w:vAlign w:val="center"/>
            <w:hideMark/>
          </w:tcPr>
          <w:p w14:paraId="16281403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 xml:space="preserve">2 организации от 2 държави </w:t>
            </w:r>
          </w:p>
        </w:tc>
        <w:tc>
          <w:tcPr>
            <w:tcW w:w="0" w:type="auto"/>
            <w:vAlign w:val="center"/>
            <w:hideMark/>
          </w:tcPr>
          <w:p w14:paraId="1A946E04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 xml:space="preserve">3 организации от 3 държави </w:t>
            </w:r>
          </w:p>
        </w:tc>
      </w:tr>
      <w:tr w:rsidR="00183736" w:rsidRPr="00183736" w14:paraId="3E839B71" w14:textId="77777777" w:rsidTr="000506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DF4CB1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Тип организации</w:t>
            </w:r>
          </w:p>
        </w:tc>
        <w:tc>
          <w:tcPr>
            <w:tcW w:w="0" w:type="auto"/>
            <w:vAlign w:val="center"/>
            <w:hideMark/>
          </w:tcPr>
          <w:p w14:paraId="078E01C3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местни власти, НПО, мрежи</w:t>
            </w:r>
          </w:p>
        </w:tc>
        <w:tc>
          <w:tcPr>
            <w:tcW w:w="0" w:type="auto"/>
            <w:vAlign w:val="center"/>
            <w:hideMark/>
          </w:tcPr>
          <w:p w14:paraId="6DE65933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всички организации</w:t>
            </w:r>
          </w:p>
        </w:tc>
        <w:tc>
          <w:tcPr>
            <w:tcW w:w="0" w:type="auto"/>
            <w:vAlign w:val="center"/>
            <w:hideMark/>
          </w:tcPr>
          <w:p w14:paraId="38F8DEAE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всички организации (с опит)</w:t>
            </w:r>
          </w:p>
        </w:tc>
      </w:tr>
      <w:tr w:rsidR="00183736" w:rsidRPr="00183736" w14:paraId="49BBE990" w14:textId="77777777" w:rsidTr="000506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EF1CE9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Изискване за опит</w:t>
            </w:r>
          </w:p>
        </w:tc>
        <w:tc>
          <w:tcPr>
            <w:tcW w:w="0" w:type="auto"/>
            <w:vAlign w:val="center"/>
            <w:hideMark/>
          </w:tcPr>
          <w:p w14:paraId="4534EED6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висок капацитет</w:t>
            </w:r>
          </w:p>
        </w:tc>
        <w:tc>
          <w:tcPr>
            <w:tcW w:w="0" w:type="auto"/>
            <w:vAlign w:val="center"/>
            <w:hideMark/>
          </w:tcPr>
          <w:p w14:paraId="1ABB5991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не се изисква</w:t>
            </w:r>
          </w:p>
        </w:tc>
        <w:tc>
          <w:tcPr>
            <w:tcW w:w="0" w:type="auto"/>
            <w:vAlign w:val="center"/>
            <w:hideMark/>
          </w:tcPr>
          <w:p w14:paraId="2067D0A4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 xml:space="preserve">изисква се (мин. 2 г.) </w:t>
            </w:r>
          </w:p>
        </w:tc>
      </w:tr>
      <w:tr w:rsidR="00183736" w:rsidRPr="00183736" w14:paraId="265EE2DC" w14:textId="77777777" w:rsidTr="000506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FC05D0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Продължителност</w:t>
            </w:r>
          </w:p>
        </w:tc>
        <w:tc>
          <w:tcPr>
            <w:tcW w:w="0" w:type="auto"/>
            <w:vAlign w:val="center"/>
            <w:hideMark/>
          </w:tcPr>
          <w:p w14:paraId="0777E7DD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12 – 24 месеца</w:t>
            </w:r>
          </w:p>
        </w:tc>
        <w:tc>
          <w:tcPr>
            <w:tcW w:w="0" w:type="auto"/>
            <w:vAlign w:val="center"/>
            <w:hideMark/>
          </w:tcPr>
          <w:p w14:paraId="1E06C0F6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 xml:space="preserve">6 – 24 месеца </w:t>
            </w:r>
          </w:p>
        </w:tc>
        <w:tc>
          <w:tcPr>
            <w:tcW w:w="0" w:type="auto"/>
            <w:vAlign w:val="center"/>
            <w:hideMark/>
          </w:tcPr>
          <w:p w14:paraId="04254F46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 xml:space="preserve">12 – 36 месеца </w:t>
            </w:r>
          </w:p>
        </w:tc>
      </w:tr>
      <w:tr w:rsidR="00183736" w:rsidRPr="00183736" w14:paraId="6CABAA18" w14:textId="77777777" w:rsidTr="000506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31CEC4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Бюджет</w:t>
            </w:r>
          </w:p>
        </w:tc>
        <w:tc>
          <w:tcPr>
            <w:tcW w:w="0" w:type="auto"/>
            <w:vAlign w:val="center"/>
            <w:hideMark/>
          </w:tcPr>
          <w:p w14:paraId="0ED5FB90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мин. 100 000 € / без горна граница</w:t>
            </w:r>
          </w:p>
        </w:tc>
        <w:tc>
          <w:tcPr>
            <w:tcW w:w="0" w:type="auto"/>
            <w:vAlign w:val="center"/>
            <w:hideMark/>
          </w:tcPr>
          <w:p w14:paraId="42208C4B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около 30 000 – 60 000 € (фиксирани суми)</w:t>
            </w:r>
          </w:p>
        </w:tc>
        <w:tc>
          <w:tcPr>
            <w:tcW w:w="0" w:type="auto"/>
            <w:vAlign w:val="center"/>
            <w:hideMark/>
          </w:tcPr>
          <w:p w14:paraId="75B2EFEF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около 120 000 – 400 000+ €</w:t>
            </w:r>
          </w:p>
        </w:tc>
      </w:tr>
      <w:tr w:rsidR="00183736" w:rsidRPr="00183736" w14:paraId="34216F1C" w14:textId="77777777" w:rsidTr="000506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A947BE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Финансиране</w:t>
            </w:r>
          </w:p>
        </w:tc>
        <w:tc>
          <w:tcPr>
            <w:tcW w:w="0" w:type="auto"/>
            <w:vAlign w:val="center"/>
            <w:hideMark/>
          </w:tcPr>
          <w:p w14:paraId="49320297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lump sum</w:t>
            </w:r>
          </w:p>
        </w:tc>
        <w:tc>
          <w:tcPr>
            <w:tcW w:w="0" w:type="auto"/>
            <w:vAlign w:val="center"/>
            <w:hideMark/>
          </w:tcPr>
          <w:p w14:paraId="1E9A2809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lump sum (опростен)</w:t>
            </w:r>
          </w:p>
        </w:tc>
        <w:tc>
          <w:tcPr>
            <w:tcW w:w="0" w:type="auto"/>
            <w:vAlign w:val="center"/>
            <w:hideMark/>
          </w:tcPr>
          <w:p w14:paraId="1AFE9832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lump sum (по-сложен)</w:t>
            </w:r>
          </w:p>
        </w:tc>
      </w:tr>
      <w:tr w:rsidR="00183736" w:rsidRPr="00183736" w14:paraId="43F2BE4D" w14:textId="77777777" w:rsidTr="000506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B060D0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Сложност</w:t>
            </w:r>
          </w:p>
        </w:tc>
        <w:tc>
          <w:tcPr>
            <w:tcW w:w="0" w:type="auto"/>
            <w:vAlign w:val="center"/>
            <w:hideMark/>
          </w:tcPr>
          <w:p w14:paraId="667EC4A8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много висока</w:t>
            </w:r>
          </w:p>
        </w:tc>
        <w:tc>
          <w:tcPr>
            <w:tcW w:w="0" w:type="auto"/>
            <w:vAlign w:val="center"/>
            <w:hideMark/>
          </w:tcPr>
          <w:p w14:paraId="284B4A9C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ниска</w:t>
            </w:r>
          </w:p>
        </w:tc>
        <w:tc>
          <w:tcPr>
            <w:tcW w:w="0" w:type="auto"/>
            <w:vAlign w:val="center"/>
            <w:hideMark/>
          </w:tcPr>
          <w:p w14:paraId="6B7A0A87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средна към висока</w:t>
            </w:r>
          </w:p>
        </w:tc>
      </w:tr>
      <w:tr w:rsidR="00183736" w:rsidRPr="00183736" w14:paraId="3FC6CAB5" w14:textId="77777777" w:rsidTr="000506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7B611F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Подходящо за</w:t>
            </w:r>
          </w:p>
        </w:tc>
        <w:tc>
          <w:tcPr>
            <w:tcW w:w="0" w:type="auto"/>
            <w:vAlign w:val="center"/>
            <w:hideMark/>
          </w:tcPr>
          <w:p w14:paraId="6249B13C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опитни организации и общини</w:t>
            </w:r>
          </w:p>
        </w:tc>
        <w:tc>
          <w:tcPr>
            <w:tcW w:w="0" w:type="auto"/>
            <w:vAlign w:val="center"/>
            <w:hideMark/>
          </w:tcPr>
          <w:p w14:paraId="402135DF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начинаещи организации</w:t>
            </w:r>
          </w:p>
        </w:tc>
        <w:tc>
          <w:tcPr>
            <w:tcW w:w="0" w:type="auto"/>
            <w:vAlign w:val="center"/>
            <w:hideMark/>
          </w:tcPr>
          <w:p w14:paraId="551C7524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организации с опит</w:t>
            </w:r>
          </w:p>
        </w:tc>
      </w:tr>
      <w:tr w:rsidR="00183736" w:rsidRPr="00183736" w14:paraId="338BD817" w14:textId="77777777" w:rsidTr="000506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5B596B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Тип резултати</w:t>
            </w:r>
          </w:p>
        </w:tc>
        <w:tc>
          <w:tcPr>
            <w:tcW w:w="0" w:type="auto"/>
            <w:vAlign w:val="center"/>
            <w:hideMark/>
          </w:tcPr>
          <w:p w14:paraId="73824BA3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политики, мрежи, въздействие</w:t>
            </w:r>
          </w:p>
        </w:tc>
        <w:tc>
          <w:tcPr>
            <w:tcW w:w="0" w:type="auto"/>
            <w:vAlign w:val="center"/>
            <w:hideMark/>
          </w:tcPr>
          <w:p w14:paraId="689CB063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обмен, учене</w:t>
            </w:r>
          </w:p>
        </w:tc>
        <w:tc>
          <w:tcPr>
            <w:tcW w:w="0" w:type="auto"/>
            <w:vAlign w:val="center"/>
            <w:hideMark/>
          </w:tcPr>
          <w:p w14:paraId="5E27AFB0" w14:textId="77777777" w:rsidR="00183736" w:rsidRPr="00183736" w:rsidRDefault="00183736" w:rsidP="00183736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183736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продукти, иновации, устойчивост</w:t>
            </w:r>
          </w:p>
        </w:tc>
      </w:tr>
    </w:tbl>
    <w:p w14:paraId="16EDCC70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3BC8B59C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Съпоставянето на разгледаните покани по програмите CERV (Citizens, Equality, Rights and Values Programme) и Erasmus+ показва ясно различия в тяхната логика, мащаб и изисквания към организациите - кандидат.</w:t>
      </w:r>
    </w:p>
    <w:p w14:paraId="1DEC021B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lastRenderedPageBreak/>
        <w:t>На първо място, поканата по CERV („Мрежи от градове“) се характеризира с най-високо ниво на сложност и най-голям мащаб на финансиране. Минималният бюджет от 100 000 евро и липсата на горна граница предполагат реализация на проекти с широк обхват, значителен брой партньори и ясно изразено въздействие върху политики и гражданско участие. Изискването за минимум четири партньора от четири държави допълнително подчертава международния и стратегически характер на тази покана. Това я прави подходяща основно за организации с изграден капацитет, стабилни партньорства и опит в управление на сложни проекти.</w:t>
      </w:r>
    </w:p>
    <w:p w14:paraId="021996E3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От своя страна, поканата „Малки партньорства“ (KA210) по Erasmus+ представлява най-достъпната възможност сред разглежданите. Тя се отличава с ограничен бюджет, опростени изисквания и минимален брой партньори (две организации от две държави). Продължителността на проектите и моделът на финансиране чрез фиксирани суми позволяват по-лесно планиране и управление. В този смисъл KA210 изпълнява ролята на входна точка към програмата, като дава възможност на по-малки или начинаещи организации да натрупат опит в международно сътрудничество.</w:t>
      </w:r>
    </w:p>
    <w:p w14:paraId="2ABE241C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Поканата „Партньорства за сътрудничество“ (KA220) заема междинна позиция между двете крайности. Тя изисква по-високо ниво на организационен капацитет в сравнение с KA210, включително минимум две години опит на кандидатстващата организация, както и участие на поне три партньора от различни държави. Бюджетът е значително по-голям, което позволява реализиране на по-амбициозни дейности, разработване на резултати и постигане на устойчиво въздействие. В същото време изискванията остават по-достъпни в сравнение с CERV, особено по отношение на броя партньори и тематичната гъвкавост.</w:t>
      </w:r>
    </w:p>
    <w:p w14:paraId="5B7C0F01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Сравнението между трите покани показва, че бюджетът е пряко свързан с нивото на сложност и очакванията към проекта. По-малкият бюджет при KA210 предполага ограничен обхват и по-нисък риск, докато по-големите бюджети при KA220 и особено при CERV изискват по-сериозно планиране, по-широко партньорство и по-висок административен капацитет.</w:t>
      </w:r>
    </w:p>
    <w:p w14:paraId="4158791F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В този контекст изборът на подходяща покана следва да се основава не само на тематичното съответствие на проектната идея, но и на реалистична оценка на ресурсите, опита и възможностите на организацията. Практически това означава, че една и съща идея може да бъде реализирана в различни формати, но изборът на конкретна покана трябва да отразява нейния мащаб и нивото на развитие на кандидата.</w:t>
      </w:r>
    </w:p>
    <w:p w14:paraId="7A2B7958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70DB1210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1F50DBA3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color w:val="154E81"/>
          <w:kern w:val="0"/>
          <w:u w:val="thick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/>
          <w:color w:val="154E81"/>
          <w:kern w:val="0"/>
          <w:u w:val="thick"/>
          <w:lang w:eastAsia="bg-BG"/>
          <w14:ligatures w14:val="none"/>
        </w:rPr>
        <w:t>5. ЗАКЛЮЧЕНИЕ</w:t>
      </w:r>
    </w:p>
    <w:p w14:paraId="7C06BE60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29C251A0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Анализът на реални покани за финансиране и преценката на допустимостта представляват ключов преход от теоретично разбиране на проектния процес към неговото практическо приложение. Настоящият урок показа, че успешното кандидатстване не започва с разработване на проектно предложение, а с правилен избор на подходяща покана.</w:t>
      </w:r>
    </w:p>
    <w:p w14:paraId="1EC23E92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 xml:space="preserve">Чрез разглеждането на конкретни процедури по програмите Erasmus+ и CERV (Citizens, Equality, Rights and Values Programme) се установи, че различните възможности за финансиране се отличават съществено по отношение на цели, </w:t>
      </w: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lastRenderedPageBreak/>
        <w:t>мащаб, изисквания към кандидатите, партньорства и финансови параметри. Тези различия налагат необходимостта от внимателен и систематичен анализ, преди да се пристъпи към подготовка на проект.</w:t>
      </w:r>
    </w:p>
    <w:p w14:paraId="1CE7198B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Практическият анализ показа, че една и съща проектна идея не е универсално приложима към всички покани. Нейната реализация зависи от степента на съответствие с целите на програмата, допустимите дейности, целевите групи и административните изисквания. В този смисъл изборът на покана е стратегическо решение, което трябва да отчита не само тематичното съответствие, но и реалния капацитет на организацията.</w:t>
      </w:r>
    </w:p>
    <w:p w14:paraId="68CBAD4E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Съпоставянето между поканите по Erasmus+ (KA210 и KA220) и CERV ясно демонстрира различни нива на сложност и достъпност. Докато малките партньорства предоставят възможност за навлизане в програмата с по-нисък риск, партньорствата за сътрудничество изискват по-висок капацитет и водят до по-значими резултати. От своя страна, процедурите по CERV предполагат стратегическо партньорство, по-широк обхват и ясно изразено въздействие върху политики и гражданско участие.</w:t>
      </w:r>
    </w:p>
    <w:p w14:paraId="68C471EF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Основният извод от урока е, че допустимостта не е формален елемент, а първичен и задължителен филтър, който определя дали една идея има реален шанс да бъде финансирана. Неправилната преценка на този етап води до загуба на време и ресурси, независимо от качеството на самата идея.</w:t>
      </w:r>
    </w:p>
    <w:p w14:paraId="5353CD8B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Следователно, умението да се анализират покани, да се разчитат техните изисквания и да се прави обективна преценка на допустимостта е основа за ефективно участие в програми за финансиране. То позволява на организациите да насочат усилията си към реалистични възможности, да повишат шансовете си за успех и да развиват проектната си дейност по стратегически и устойчив начин.</w:t>
      </w:r>
    </w:p>
    <w:p w14:paraId="510120AA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В заключение може да се обобщи, че анализът на поканите не е подготвителна, а решаваща фаза от проектния процес, която определя дали ще бъде направена следващата стъпка – разработване на проектно предложение.</w:t>
      </w:r>
    </w:p>
    <w:p w14:paraId="334F0B6D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183736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В практиката често се наблюдава, че основната причина за неуспех не е качеството на проектната идея, а неправилният избор на покана.</w:t>
      </w:r>
    </w:p>
    <w:p w14:paraId="7A761D20" w14:textId="77777777" w:rsidR="00183736" w:rsidRPr="00183736" w:rsidRDefault="00183736" w:rsidP="00183736">
      <w:pPr>
        <w:widowControl w:val="0"/>
        <w:kinsoku w:val="0"/>
        <w:overflowPunct w:val="0"/>
        <w:autoSpaceDE w:val="0"/>
        <w:autoSpaceDN w:val="0"/>
        <w:adjustRightInd w:val="0"/>
        <w:spacing w:after="0" w:line="273" w:lineRule="exact"/>
        <w:ind w:left="2403"/>
        <w:rPr>
          <w:rFonts w:ascii="Trebuchet MS" w:eastAsia="Times New Roman" w:hAnsi="Trebuchet MS" w:cs="Times New Roman"/>
          <w:bCs/>
          <w:color w:val="003399"/>
          <w:kern w:val="0"/>
          <w:lang w:eastAsia="bg-BG"/>
          <w14:ligatures w14:val="none"/>
        </w:rPr>
      </w:pPr>
    </w:p>
    <w:p w14:paraId="2008F98D" w14:textId="77777777" w:rsidR="0068261E" w:rsidRPr="00183736" w:rsidRDefault="0068261E" w:rsidP="00183736"/>
    <w:sectPr w:rsidR="0068261E" w:rsidRPr="00183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81E9F"/>
    <w:multiLevelType w:val="hybridMultilevel"/>
    <w:tmpl w:val="E5C68D40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A40887"/>
    <w:multiLevelType w:val="hybridMultilevel"/>
    <w:tmpl w:val="A654952A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582AAC"/>
    <w:multiLevelType w:val="hybridMultilevel"/>
    <w:tmpl w:val="A164123C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FA327A"/>
    <w:multiLevelType w:val="multilevel"/>
    <w:tmpl w:val="30021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  <w:b/>
        <w:color w:val="154E81"/>
        <w:u w:val="thick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830BBF"/>
    <w:multiLevelType w:val="hybridMultilevel"/>
    <w:tmpl w:val="AADA0906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447747"/>
    <w:multiLevelType w:val="hybridMultilevel"/>
    <w:tmpl w:val="6F28D59C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1F1089"/>
    <w:multiLevelType w:val="hybridMultilevel"/>
    <w:tmpl w:val="0018DAE2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5C63E8"/>
    <w:multiLevelType w:val="hybridMultilevel"/>
    <w:tmpl w:val="00CE2A32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EC32CF2"/>
    <w:multiLevelType w:val="hybridMultilevel"/>
    <w:tmpl w:val="D654EE7E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75B4AD5"/>
    <w:multiLevelType w:val="hybridMultilevel"/>
    <w:tmpl w:val="403CCB7A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F990B1F"/>
    <w:multiLevelType w:val="hybridMultilevel"/>
    <w:tmpl w:val="9A2E45F2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FA67AA"/>
    <w:multiLevelType w:val="hybridMultilevel"/>
    <w:tmpl w:val="60D06F1C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C576AED"/>
    <w:multiLevelType w:val="hybridMultilevel"/>
    <w:tmpl w:val="CB08A7DA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0E15F37"/>
    <w:multiLevelType w:val="hybridMultilevel"/>
    <w:tmpl w:val="30105BFA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222779F"/>
    <w:multiLevelType w:val="hybridMultilevel"/>
    <w:tmpl w:val="D02E2B74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48F0C62"/>
    <w:multiLevelType w:val="hybridMultilevel"/>
    <w:tmpl w:val="69F6904E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5CC1A70"/>
    <w:multiLevelType w:val="hybridMultilevel"/>
    <w:tmpl w:val="023E4A24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F7104F1"/>
    <w:multiLevelType w:val="hybridMultilevel"/>
    <w:tmpl w:val="63C4DEBC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4DD0E5D"/>
    <w:multiLevelType w:val="hybridMultilevel"/>
    <w:tmpl w:val="5CB87AEC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B7A3E62"/>
    <w:multiLevelType w:val="hybridMultilevel"/>
    <w:tmpl w:val="CC661FCE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10572481">
    <w:abstractNumId w:val="3"/>
  </w:num>
  <w:num w:numId="2" w16cid:durableId="3751134">
    <w:abstractNumId w:val="7"/>
  </w:num>
  <w:num w:numId="3" w16cid:durableId="1072004577">
    <w:abstractNumId w:val="17"/>
  </w:num>
  <w:num w:numId="4" w16cid:durableId="1839685527">
    <w:abstractNumId w:val="18"/>
  </w:num>
  <w:num w:numId="5" w16cid:durableId="2019844974">
    <w:abstractNumId w:val="0"/>
  </w:num>
  <w:num w:numId="6" w16cid:durableId="894006820">
    <w:abstractNumId w:val="16"/>
  </w:num>
  <w:num w:numId="7" w16cid:durableId="452135154">
    <w:abstractNumId w:val="4"/>
  </w:num>
  <w:num w:numId="8" w16cid:durableId="1720472078">
    <w:abstractNumId w:val="5"/>
  </w:num>
  <w:num w:numId="9" w16cid:durableId="444665388">
    <w:abstractNumId w:val="1"/>
  </w:num>
  <w:num w:numId="10" w16cid:durableId="1913000262">
    <w:abstractNumId w:val="15"/>
  </w:num>
  <w:num w:numId="11" w16cid:durableId="1427844091">
    <w:abstractNumId w:val="2"/>
  </w:num>
  <w:num w:numId="12" w16cid:durableId="2111194286">
    <w:abstractNumId w:val="19"/>
  </w:num>
  <w:num w:numId="13" w16cid:durableId="123811535">
    <w:abstractNumId w:val="6"/>
  </w:num>
  <w:num w:numId="14" w16cid:durableId="1924030146">
    <w:abstractNumId w:val="13"/>
  </w:num>
  <w:num w:numId="15" w16cid:durableId="143209392">
    <w:abstractNumId w:val="12"/>
  </w:num>
  <w:num w:numId="16" w16cid:durableId="688263459">
    <w:abstractNumId w:val="9"/>
  </w:num>
  <w:num w:numId="17" w16cid:durableId="474685091">
    <w:abstractNumId w:val="14"/>
  </w:num>
  <w:num w:numId="18" w16cid:durableId="325133679">
    <w:abstractNumId w:val="11"/>
  </w:num>
  <w:num w:numId="19" w16cid:durableId="1424833721">
    <w:abstractNumId w:val="10"/>
  </w:num>
  <w:num w:numId="20" w16cid:durableId="9365991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D8F"/>
    <w:rsid w:val="00183736"/>
    <w:rsid w:val="001C4002"/>
    <w:rsid w:val="00255EA1"/>
    <w:rsid w:val="005A0D8F"/>
    <w:rsid w:val="0068261E"/>
    <w:rsid w:val="0073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244F46-E958-4893-824C-7DCB73D5B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0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0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0D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0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0D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0D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0D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0D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0D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0D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0D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0D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0D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0D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0D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0D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0D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0D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0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0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0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0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0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0D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0D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0D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0D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0D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0D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2576</Words>
  <Characters>14687</Characters>
  <Application>Microsoft Office Word</Application>
  <DocSecurity>0</DocSecurity>
  <Lines>122</Lines>
  <Paragraphs>34</Paragraphs>
  <ScaleCrop>false</ScaleCrop>
  <Company/>
  <LinksUpToDate>false</LinksUpToDate>
  <CharactersWithSpaces>17229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Lazarinka Andreeva</dc:creator>
  <cp:keywords/>
  <dc:description/>
  <cp:lastModifiedBy>Lazarinka Andreeva</cp:lastModifiedBy>
  <cp:revision>2</cp:revision>
  <dcterms:created xsi:type="dcterms:W3CDTF">2026-08-20T17:38:00Z</dcterms:created>
  <dcterms:modified xsi:type="dcterms:W3CDTF">2026-08-20T17:54:00Z</dcterms:modified>
</cp:coreProperties>
</file>