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EE73" w14:textId="77777777" w:rsidR="00FB52BA" w:rsidRPr="00FB52BA" w:rsidRDefault="00FB52BA" w:rsidP="00FB52BA">
      <w:pPr>
        <w:keepNext/>
        <w:keepLines/>
        <w:spacing w:before="360" w:after="80"/>
        <w:outlineLvl w:val="0"/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</w:pPr>
      <w:bookmarkStart w:id="0" w:name="_Toc227593278"/>
      <w:r w:rsidRPr="00FB52BA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  <w:t>УРОК 10: РОЛЯ И СТРУКТУРА НА ЕЛЕКТРОННИТЕ СИСТЕМИ</w:t>
      </w:r>
      <w:bookmarkEnd w:id="0"/>
    </w:p>
    <w:p w14:paraId="43196DF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419BB14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съвременната практика на участие в програми, финансирани от Европейския съюз, използването на електронни платформи представлява задължителен и неизменен елемент от целия процес на кандидатстване и управление на проекти. Дигитализацията на процедурите има за цел да осигури прозрачност, проследимост и ефективност, както и да създаде единен стандарт за работа между кандидатите и управляващите органи.</w:t>
      </w:r>
    </w:p>
    <w:p w14:paraId="0CED053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разлика от предходни периоди, при които комуникацията и подаването на документи са се осъществявали чрез хартиени формуляри или електронна поща, в настоящия програмен период всички основни дейности са концентрирани в специализирани електронни системи. Това налага необходимостта от наличие на базова дигитална грамотност и разбиране на логиката на работа на тези платформи.</w:t>
      </w:r>
    </w:p>
    <w:p w14:paraId="7BEE556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контекста на европейското финансиране, особено значение имат две системи — EU Funding &amp; Tenders Portal и ИСУН. Те функционират като основни инструменти за достъп до финансиране, като всяка от тях е съобразена със специфичния модел на управление на съответните програми.</w:t>
      </w:r>
    </w:p>
    <w:p w14:paraId="014EB69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43BEBF6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 xml:space="preserve">1. РОЛЯ НА ЕЛЕКТРОННИТЕ СИСТЕМИ </w:t>
      </w:r>
    </w:p>
    <w:p w14:paraId="07C1AD6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2C255B2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Електронните системи представляват основната среда, в която се осъществява достъпът до финансиране от Европейския съюз. Те не са просто технически инструмент за подаване на проектни предложения, а интегрирана платформа, която обединява всички етапи от проектния цикъл, от публикуването на поканите до изпълнението и отчитането на проектите.</w:t>
      </w:r>
    </w:p>
    <w:p w14:paraId="3027874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съвременния програмен период кандидатстването извън електронна среда практически не съществува. Това налага организациите да развият умения за работа с тези системи, както и да разбират тяхната логика и структура.</w:t>
      </w:r>
    </w:p>
    <w:p w14:paraId="777D253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да се разбере значението на тези системи, е необходимо те да бъдат разгледани в контекста на целия проектен цикъл.</w:t>
      </w:r>
    </w:p>
    <w:p w14:paraId="17090C2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Електронните платформи не се използват само на етап кандидатстване, а съпътстват всички основни фази:</w:t>
      </w:r>
    </w:p>
    <w:p w14:paraId="5123893C" w14:textId="77777777" w:rsidR="00FB52BA" w:rsidRPr="00FB52BA" w:rsidRDefault="00FB52BA" w:rsidP="00FB52BA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идентифициране на възможности – чрез публикуване на покани;</w:t>
      </w:r>
    </w:p>
    <w:p w14:paraId="5B549990" w14:textId="77777777" w:rsidR="00FB52BA" w:rsidRPr="00FB52BA" w:rsidRDefault="00FB52BA" w:rsidP="00FB52BA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подготовка на проектно предложение – чрез електронни формуляри;</w:t>
      </w:r>
    </w:p>
    <w:p w14:paraId="57941030" w14:textId="77777777" w:rsidR="00FB52BA" w:rsidRPr="00FB52BA" w:rsidRDefault="00FB52BA" w:rsidP="00FB52BA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подаване на проект – чрез официално регистриране в системата;</w:t>
      </w:r>
    </w:p>
    <w:p w14:paraId="663DEA56" w14:textId="77777777" w:rsidR="00FB52BA" w:rsidRPr="00FB52BA" w:rsidRDefault="00FB52BA" w:rsidP="00FB52BA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оценка и комуникация – чрез обмен на информация с оценителите;</w:t>
      </w:r>
    </w:p>
    <w:p w14:paraId="7053CA78" w14:textId="77777777" w:rsidR="00FB52BA" w:rsidRPr="00FB52BA" w:rsidRDefault="00FB52BA" w:rsidP="00FB52BA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изпълнение и отчитане – чрез подаване на отчети и документи.</w:t>
      </w:r>
    </w:p>
    <w:p w14:paraId="598B46A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Тази интегрирана роля превръща платформите в не просто технически инструмент, а в основна среда за работа.</w:t>
      </w:r>
    </w:p>
    <w:p w14:paraId="4F21F4E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4BCBD9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 xml:space="preserve">2. </w:t>
      </w:r>
      <w:bookmarkStart w:id="1" w:name="_Hlk226725731"/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ОСНОВНИ ПЛАТФОРМИ ЗА КАНДИДАТСТВАНЕ</w:t>
      </w:r>
      <w:bookmarkEnd w:id="1"/>
    </w:p>
    <w:p w14:paraId="37C175B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3CDA1A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В зависимост от начина на управление на програмите, се използват различни електронни платформи. Основното разграничение е между централизирано управлявани програми на ниво Европейски съюз и програми с национално </w:t>
      </w: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управление.</w:t>
      </w:r>
    </w:p>
    <w:p w14:paraId="52BE878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програмите с директно управление от Европейската комисия, като CERV, Horizon Europe и Creative Europe, се използва платформата EU Funding &amp; Tenders Portal.</w:t>
      </w:r>
    </w:p>
    <w:p w14:paraId="7261874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програмите, управлявани на национално ниво в България, включително тези по Европейските структурни и инвестиционни фондове, се използва системата ИСУН.</w:t>
      </w:r>
    </w:p>
    <w:p w14:paraId="228E9A3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Това разграничение е ключово, тъй като определя не само техническата среда, но и начина на кандидатстване, изискванията и административната логика на процедурите.</w:t>
      </w:r>
    </w:p>
    <w:p w14:paraId="53BEDC1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C0F1DD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3. EU FUNDING &amp; TENDERS PORTAL</w:t>
      </w:r>
    </w:p>
    <w:p w14:paraId="4AF8FB7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6373BA"/>
          <w:kern w:val="0"/>
          <w:lang w:eastAsia="bg-BG"/>
          <w14:ligatures w14:val="none"/>
        </w:rPr>
      </w:pPr>
    </w:p>
    <w:p w14:paraId="4CD3610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EU Funding &amp; Tenders Portal представлява централизирана електронна система на Европейската комисия, предназначена за управление на програми с пряко европейско финансиране сред тях попадат програми като CERV, Horizon Europe, LIFE и Creative Europe. Характерно за този тип програми е, че кандидатстването и оценката се извършват на ниво Европейски съюз, а не чрез национални институции.</w:t>
      </w:r>
    </w:p>
    <w:p w14:paraId="643DA20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2B7ED77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3.1. Интегриран характер на платформата</w:t>
      </w:r>
    </w:p>
    <w:p w14:paraId="3C1DBF8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C49BE8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Платформата обединява няколко ключови функционалности в една система. Това означава, че потребителят не преминава през различни сайтове или системи, а работи в единна среда, която включва:</w:t>
      </w:r>
    </w:p>
    <w:p w14:paraId="141F90D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A039638" w14:textId="77777777" w:rsidR="00FB52BA" w:rsidRPr="00FB52BA" w:rsidRDefault="00FB52BA" w:rsidP="00FB52BA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база данни с отворени покани;</w:t>
      </w:r>
    </w:p>
    <w:p w14:paraId="16A6923A" w14:textId="77777777" w:rsidR="00FB52BA" w:rsidRPr="00FB52BA" w:rsidRDefault="00FB52BA" w:rsidP="00FB52BA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система за регистрация на организации;</w:t>
      </w:r>
    </w:p>
    <w:p w14:paraId="0F44712C" w14:textId="77777777" w:rsidR="00FB52BA" w:rsidRPr="00FB52BA" w:rsidRDefault="00FB52BA" w:rsidP="00FB52BA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 формуляри за кандидатстване;</w:t>
      </w:r>
    </w:p>
    <w:p w14:paraId="4FB65E01" w14:textId="77777777" w:rsidR="00FB52BA" w:rsidRPr="00FB52BA" w:rsidRDefault="00FB52BA" w:rsidP="00FB52BA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модул за управление на проекти;</w:t>
      </w:r>
    </w:p>
    <w:p w14:paraId="22412EF9" w14:textId="77777777" w:rsidR="00FB52BA" w:rsidRPr="00FB52BA" w:rsidRDefault="00FB52BA" w:rsidP="00FB52BA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комуникационен канал с Европейската комисия.</w:t>
      </w:r>
    </w:p>
    <w:p w14:paraId="39B3BB6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F2A54E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Този интегриран подход улеснява процеса, но изисква по-добра ориентация от страна на потребителя.</w:t>
      </w:r>
    </w:p>
    <w:p w14:paraId="5608425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5E5D95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3.2. Регистрация и идентификация (PIC номер)</w:t>
      </w:r>
    </w:p>
    <w:p w14:paraId="2DCF173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</w:p>
    <w:p w14:paraId="7CB9D56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Един от най-съществените елементи в системата е регистрацията на организацията. Тя води до създаване на уникален идентификационен код (PIC), който служи като „електронна идентичност“ на кандидата.</w:t>
      </w:r>
    </w:p>
    <w:p w14:paraId="003C63A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27C8B18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Регистрацията включва въвеждане на:</w:t>
      </w:r>
    </w:p>
    <w:p w14:paraId="59502F8F" w14:textId="77777777" w:rsidR="00FB52BA" w:rsidRPr="00FB52BA" w:rsidRDefault="00FB52BA" w:rsidP="00FB52BA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правна информация за организацията;</w:t>
      </w:r>
    </w:p>
    <w:p w14:paraId="743D7828" w14:textId="77777777" w:rsidR="00FB52BA" w:rsidRPr="00FB52BA" w:rsidRDefault="00FB52BA" w:rsidP="00FB52BA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данни за контакт;</w:t>
      </w:r>
    </w:p>
    <w:p w14:paraId="7537965B" w14:textId="77777777" w:rsidR="00FB52BA" w:rsidRPr="00FB52BA" w:rsidRDefault="00FB52BA" w:rsidP="00FB52BA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финансови и административни документи;</w:t>
      </w:r>
    </w:p>
    <w:p w14:paraId="70901CC3" w14:textId="77777777" w:rsidR="00FB52BA" w:rsidRPr="00FB52BA" w:rsidRDefault="00FB52BA" w:rsidP="00FB52BA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информация за представителите на организацията.</w:t>
      </w:r>
    </w:p>
    <w:p w14:paraId="63AC60D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Важно е да се подчертае, че този процес не е еднократен формален акт, а </w:t>
      </w: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основа за всички бъдещи кандидатствания. Грешки или непълноти на този етап могат да доведат до административни затруднения или отказ на проекта.</w:t>
      </w:r>
    </w:p>
    <w:p w14:paraId="670C2FF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999B78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3.3. Работа с покани и формуляри</w:t>
      </w:r>
    </w:p>
    <w:p w14:paraId="7921AB5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След като организацията е регистрирана, основната дейност е свързана с работа по конкретни покани. Всяка покана съдържа структурирана информация, която определя рамката на кандидатстването.</w:t>
      </w:r>
    </w:p>
    <w:p w14:paraId="1BB76D3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Електронният формуляр е разделен на отделни секции, които обикновено включват:</w:t>
      </w:r>
    </w:p>
    <w:p w14:paraId="66E5C8CB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описание на проекта;</w:t>
      </w:r>
    </w:p>
    <w:p w14:paraId="18551094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цели и резултати;</w:t>
      </w:r>
    </w:p>
    <w:p w14:paraId="1269C8C6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дейности;</w:t>
      </w:r>
    </w:p>
    <w:p w14:paraId="7F480095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партньорства;</w:t>
      </w:r>
    </w:p>
    <w:p w14:paraId="084B5E3A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бюджет;</w:t>
      </w:r>
    </w:p>
    <w:p w14:paraId="4E6A818E" w14:textId="77777777" w:rsidR="00FB52BA" w:rsidRPr="00FB52BA" w:rsidRDefault="00FB52BA" w:rsidP="00FB52BA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въздействие.</w:t>
      </w:r>
    </w:p>
    <w:p w14:paraId="66F8FE0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Попълването на формуляра изисква висока степен на логическа последователност и вътрешна съгласуваност между отделните елементи. </w:t>
      </w:r>
    </w:p>
    <w:p w14:paraId="79370DE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  Характерна особеност на платформата е, че тя изисква висока степен на последователност и внимание към детайлите. Частично попълнени или непълни формуляри не могат да бъдат подадени, а всяка информация трябва да бъде въведена в съответствие с изискванията на конкретната покана.</w:t>
      </w:r>
    </w:p>
    <w:p w14:paraId="501DB80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</w:p>
    <w:p w14:paraId="1F28CAB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4. ИСУН</w:t>
      </w:r>
    </w:p>
    <w:p w14:paraId="7AF5ABD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DCE3D6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ИСУН представлява национална информационна система, чрез която се управляват програмите, финансирани в България чрез европейските фондове. Тя е съобразена със специфичните изисквания на националните институции и административната рамка.</w:t>
      </w:r>
    </w:p>
    <w:p w14:paraId="2C15B03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разлика от EU Funding &amp; Tenders Portal, която функционира на европейско ниво, системата ИСУН е насочена към програми с национално управление, като тези по Европейския социален фонд, Фонда за регионално развитие и други.</w:t>
      </w:r>
    </w:p>
    <w:p w14:paraId="57152E9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2A9ABE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4.1. Организация на системата</w:t>
      </w:r>
    </w:p>
    <w:p w14:paraId="223399B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Системата е структурирана по начин, който отразява административната логика на процедурите. Потребителят работи с ясно разграничени раздели, като:</w:t>
      </w:r>
    </w:p>
    <w:p w14:paraId="309D36E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A4F4C6D" w14:textId="77777777" w:rsidR="00FB52BA" w:rsidRPr="00FB52BA" w:rsidRDefault="00FB52BA" w:rsidP="00FB52BA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списък с процедури;</w:t>
      </w:r>
    </w:p>
    <w:p w14:paraId="6F33C0A5" w14:textId="77777777" w:rsidR="00FB52BA" w:rsidRPr="00FB52BA" w:rsidRDefault="00FB52BA" w:rsidP="00FB52BA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документи и насоки;</w:t>
      </w:r>
    </w:p>
    <w:p w14:paraId="2F726BFC" w14:textId="77777777" w:rsidR="00FB52BA" w:rsidRPr="00FB52BA" w:rsidRDefault="00FB52BA" w:rsidP="00FB52BA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 формуляри;</w:t>
      </w:r>
    </w:p>
    <w:p w14:paraId="53A567B4" w14:textId="77777777" w:rsidR="00FB52BA" w:rsidRPr="00FB52BA" w:rsidRDefault="00FB52BA" w:rsidP="00FB52BA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приложения;</w:t>
      </w:r>
    </w:p>
    <w:p w14:paraId="0B885756" w14:textId="77777777" w:rsidR="00FB52BA" w:rsidRPr="00FB52BA" w:rsidRDefault="00FB52BA" w:rsidP="00FB52BA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комуникация с управляващия орган.</w:t>
      </w:r>
    </w:p>
    <w:p w14:paraId="088B23C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Една от характерните особености на системата е, че тя изисква стриктно спазване на формалните изисквания. Всички документи трябва да бъдат прикачени в определен формат, а информацията трябва да бъде въведена точно в съответствие с указанията.</w:t>
      </w:r>
    </w:p>
    <w:p w14:paraId="5CE8899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FF27EA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4.2. Подготовка и подаване на проект</w:t>
      </w:r>
    </w:p>
    <w:p w14:paraId="74F2AE7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Процесът на кандидатстване в ИСУН включва:</w:t>
      </w:r>
    </w:p>
    <w:p w14:paraId="1D1C734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77F7FD3" w14:textId="77777777" w:rsidR="00FB52BA" w:rsidRPr="00FB52BA" w:rsidRDefault="00FB52BA" w:rsidP="00FB52B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избор на конкретна процедура;</w:t>
      </w:r>
    </w:p>
    <w:p w14:paraId="2157A65C" w14:textId="77777777" w:rsidR="00FB52BA" w:rsidRPr="00FB52BA" w:rsidRDefault="00FB52BA" w:rsidP="00FB52B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попълване на електронен формуляр;</w:t>
      </w:r>
    </w:p>
    <w:p w14:paraId="3A95CFB2" w14:textId="77777777" w:rsidR="00FB52BA" w:rsidRPr="00FB52BA" w:rsidRDefault="00FB52BA" w:rsidP="00FB52B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прикачване на задължителни документи;</w:t>
      </w:r>
    </w:p>
    <w:p w14:paraId="204DA2F4" w14:textId="77777777" w:rsidR="00FB52BA" w:rsidRPr="00FB52BA" w:rsidRDefault="00FB52BA" w:rsidP="00FB52B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проверка на пълнотата;</w:t>
      </w:r>
    </w:p>
    <w:p w14:paraId="5D712276" w14:textId="77777777" w:rsidR="00FB52BA" w:rsidRPr="00FB52BA" w:rsidRDefault="00FB52BA" w:rsidP="00FB52B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окончателно подаване.</w:t>
      </w:r>
    </w:p>
    <w:p w14:paraId="5843EF1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Системата позволява работа в режим „чернова“, което дава възможност за постепенно разработване на проекта. Въпреки това, окончателното подаване изисква всички данни да бъдат въведени коректно и в пълен обем.</w:t>
      </w:r>
    </w:p>
    <w:p w14:paraId="4137561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02EE6DF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  <w:t>4.3. Административни изисквания</w:t>
      </w:r>
    </w:p>
    <w:p w14:paraId="0FFCC29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Характерна особеност на ИСУН е високото ниво на административна формалност. Всеки документ трябва да отговаря на конкретни изисквания, включително:</w:t>
      </w:r>
    </w:p>
    <w:p w14:paraId="6EC2075A" w14:textId="77777777" w:rsidR="00FB52BA" w:rsidRPr="00FB52BA" w:rsidRDefault="00FB52BA" w:rsidP="00FB52BA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формат на файла;</w:t>
      </w:r>
    </w:p>
    <w:p w14:paraId="24A0F924" w14:textId="77777777" w:rsidR="00FB52BA" w:rsidRPr="00FB52BA" w:rsidRDefault="00FB52BA" w:rsidP="00FB52BA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подпис (електронен подпис, когато е приложимо);</w:t>
      </w:r>
    </w:p>
    <w:p w14:paraId="4E828DDA" w14:textId="77777777" w:rsidR="00FB52BA" w:rsidRPr="00FB52BA" w:rsidRDefault="00FB52BA" w:rsidP="00FB52BA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съдържание и структура.</w:t>
      </w:r>
    </w:p>
    <w:p w14:paraId="0188D1B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Това налага висока степен на внимание към детайлите и предварителна подготовка на необходимите документи.</w:t>
      </w:r>
    </w:p>
    <w:p w14:paraId="78E32EE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</w:p>
    <w:p w14:paraId="3E8C303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5. СРАВНИТЕЛЕН АНАЛИЗ НА ДВЕТЕ ПЛАТФОРМИ</w:t>
      </w:r>
    </w:p>
    <w:p w14:paraId="23216AA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kern w:val="0"/>
          <w:lang w:eastAsia="bg-BG"/>
          <w14:ligatures w14:val="none"/>
        </w:rPr>
      </w:pPr>
    </w:p>
    <w:p w14:paraId="5405012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Въпреки че двете системи имат сходни функции, между тях съществуват съществени различия, които определят начина на работа.</w:t>
      </w:r>
    </w:p>
    <w:p w14:paraId="5F0AEEE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EU Funding &amp; Tenders Portal е ориентирана към международни проекти и поставя акцент върху концептуалното съдържание, партньорствата и въздействието.</w:t>
      </w:r>
    </w:p>
    <w:p w14:paraId="417B8EF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ИСУН, от друга страна, е по-административно структурирана и изисква детайлно и прецизно попълване на информацията, особено в частта, свързана с бюджета и документите.</w:t>
      </w:r>
    </w:p>
    <w:p w14:paraId="3C28C0B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Тази разлика изисква различен подход от страна на кандидатите, по-гъвкав и стратегически при европейската платформа и по-прецизен и формализиран при националната система. В EU Funding &amp; Tenders Portal акцентът е върху съдържанието на проекта, в ИСУН съществено значение има правилното попълване на всички административни елементи.</w:t>
      </w:r>
    </w:p>
    <w:p w14:paraId="0277348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tbl>
      <w:tblPr>
        <w:tblW w:w="9162" w:type="dxa"/>
        <w:tblCellSpacing w:w="1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3652"/>
        <w:gridCol w:w="3298"/>
      </w:tblGrid>
      <w:tr w:rsidR="00FB52BA" w:rsidRPr="00FB52BA" w14:paraId="523E60EA" w14:textId="77777777" w:rsidTr="00050668">
        <w:trPr>
          <w:tblHeader/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32261FE4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КРИТЕРИЙ</w:t>
            </w:r>
          </w:p>
        </w:tc>
        <w:tc>
          <w:tcPr>
            <w:tcW w:w="0" w:type="auto"/>
            <w:shd w:val="clear" w:color="auto" w:fill="D0CECE"/>
            <w:vAlign w:val="center"/>
            <w:hideMark/>
          </w:tcPr>
          <w:p w14:paraId="7BA23E4D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EU FUNDING &amp; TENDERS PORTAL</w:t>
            </w:r>
          </w:p>
        </w:tc>
        <w:tc>
          <w:tcPr>
            <w:tcW w:w="0" w:type="auto"/>
            <w:shd w:val="clear" w:color="auto" w:fill="D0CECE"/>
            <w:vAlign w:val="center"/>
            <w:hideMark/>
          </w:tcPr>
          <w:p w14:paraId="1A3D03F7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</w:p>
          <w:p w14:paraId="31CDD51A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ИСУН</w:t>
            </w:r>
          </w:p>
          <w:p w14:paraId="40750D07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</w:pPr>
          </w:p>
          <w:p w14:paraId="6581A36D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</w:pPr>
          </w:p>
          <w:p w14:paraId="39677D4A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</w:p>
        </w:tc>
      </w:tr>
      <w:tr w:rsidR="00FB52BA" w:rsidRPr="00FB52BA" w14:paraId="4345C128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8D377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Ниво на управление</w:t>
            </w:r>
          </w:p>
        </w:tc>
        <w:tc>
          <w:tcPr>
            <w:tcW w:w="0" w:type="auto"/>
            <w:vAlign w:val="center"/>
            <w:hideMark/>
          </w:tcPr>
          <w:p w14:paraId="597549A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Европейско (директно от Европейската комисия)</w:t>
            </w:r>
          </w:p>
        </w:tc>
        <w:tc>
          <w:tcPr>
            <w:tcW w:w="0" w:type="auto"/>
            <w:vAlign w:val="center"/>
            <w:hideMark/>
          </w:tcPr>
          <w:p w14:paraId="039697A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Национално (чрез български институции)</w:t>
            </w:r>
          </w:p>
        </w:tc>
      </w:tr>
      <w:tr w:rsidR="00FB52BA" w:rsidRPr="00FB52BA" w14:paraId="7E1C765C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FF84A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lastRenderedPageBreak/>
              <w:t>Тип програми</w:t>
            </w:r>
          </w:p>
        </w:tc>
        <w:tc>
          <w:tcPr>
            <w:tcW w:w="0" w:type="auto"/>
            <w:vAlign w:val="center"/>
            <w:hideMark/>
          </w:tcPr>
          <w:p w14:paraId="0DB52A2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Програми с директно управление (Horizon Europe, CERV, LIFE, Creative Europe)</w:t>
            </w:r>
          </w:p>
        </w:tc>
        <w:tc>
          <w:tcPr>
            <w:tcW w:w="0" w:type="auto"/>
            <w:vAlign w:val="center"/>
            <w:hideMark/>
          </w:tcPr>
          <w:p w14:paraId="7A1E793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Програми по ЕСИФ (Европейски социален фонд, ЕФРР и др.)</w:t>
            </w:r>
          </w:p>
        </w:tc>
      </w:tr>
      <w:tr w:rsidR="00FB52BA" w:rsidRPr="00FB52BA" w14:paraId="6D6DB171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5A9B9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Основен фокус</w:t>
            </w:r>
          </w:p>
        </w:tc>
        <w:tc>
          <w:tcPr>
            <w:tcW w:w="0" w:type="auto"/>
            <w:vAlign w:val="center"/>
            <w:hideMark/>
          </w:tcPr>
          <w:p w14:paraId="7F7CF33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Съдържание на проекта, въздействие, партньорства</w:t>
            </w:r>
          </w:p>
        </w:tc>
        <w:tc>
          <w:tcPr>
            <w:tcW w:w="0" w:type="auto"/>
            <w:vAlign w:val="center"/>
            <w:hideMark/>
          </w:tcPr>
          <w:p w14:paraId="778CBE4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Административна точност, документи и съответствие</w:t>
            </w:r>
          </w:p>
        </w:tc>
      </w:tr>
      <w:tr w:rsidR="00FB52BA" w:rsidRPr="00FB52BA" w14:paraId="5071605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D26AD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Подход при кандидатстване</w:t>
            </w:r>
          </w:p>
        </w:tc>
        <w:tc>
          <w:tcPr>
            <w:tcW w:w="0" w:type="auto"/>
            <w:vAlign w:val="center"/>
            <w:hideMark/>
          </w:tcPr>
          <w:p w14:paraId="5901809B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Стратегически и концептуален</w:t>
            </w:r>
          </w:p>
        </w:tc>
        <w:tc>
          <w:tcPr>
            <w:tcW w:w="0" w:type="auto"/>
            <w:vAlign w:val="center"/>
            <w:hideMark/>
          </w:tcPr>
          <w:p w14:paraId="29AF984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Формализиран и процедурен</w:t>
            </w:r>
          </w:p>
        </w:tc>
      </w:tr>
      <w:tr w:rsidR="00FB52BA" w:rsidRPr="00FB52BA" w14:paraId="4B806430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AACB3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Регистрация</w:t>
            </w:r>
          </w:p>
        </w:tc>
        <w:tc>
          <w:tcPr>
            <w:tcW w:w="0" w:type="auto"/>
            <w:vAlign w:val="center"/>
            <w:hideMark/>
          </w:tcPr>
          <w:p w14:paraId="6B100B7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PIC номер (уникална идентификация на организацията)</w:t>
            </w:r>
          </w:p>
        </w:tc>
        <w:tc>
          <w:tcPr>
            <w:tcW w:w="0" w:type="auto"/>
            <w:vAlign w:val="center"/>
            <w:hideMark/>
          </w:tcPr>
          <w:p w14:paraId="6195D104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Регистрация в системата с профил на кандидата</w:t>
            </w:r>
          </w:p>
        </w:tc>
      </w:tr>
      <w:tr w:rsidR="00FB52BA" w:rsidRPr="00FB52BA" w14:paraId="7A6CD81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0683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Структура на формуляра</w:t>
            </w:r>
          </w:p>
        </w:tc>
        <w:tc>
          <w:tcPr>
            <w:tcW w:w="0" w:type="auto"/>
            <w:vAlign w:val="center"/>
            <w:hideMark/>
          </w:tcPr>
          <w:p w14:paraId="19FA0914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Логически обвързани секции (цели, дейности, резултати)</w:t>
            </w:r>
          </w:p>
        </w:tc>
        <w:tc>
          <w:tcPr>
            <w:tcW w:w="0" w:type="auto"/>
            <w:vAlign w:val="center"/>
            <w:hideMark/>
          </w:tcPr>
          <w:p w14:paraId="283AFF9C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Строго дефинирани полета и приложения</w:t>
            </w:r>
          </w:p>
        </w:tc>
      </w:tr>
      <w:tr w:rsidR="00FB52BA" w:rsidRPr="00FB52BA" w14:paraId="19851CD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BC593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Работа с документи</w:t>
            </w:r>
          </w:p>
        </w:tc>
        <w:tc>
          <w:tcPr>
            <w:tcW w:w="0" w:type="auto"/>
            <w:vAlign w:val="center"/>
            <w:hideMark/>
          </w:tcPr>
          <w:p w14:paraId="24C767C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Част от информацията е интегрирана във формуляра</w:t>
            </w:r>
          </w:p>
        </w:tc>
        <w:tc>
          <w:tcPr>
            <w:tcW w:w="0" w:type="auto"/>
            <w:vAlign w:val="center"/>
            <w:hideMark/>
          </w:tcPr>
          <w:p w14:paraId="10E4184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Изисква се прикачване на множество отделни документи</w:t>
            </w:r>
          </w:p>
        </w:tc>
      </w:tr>
      <w:tr w:rsidR="00FB52BA" w:rsidRPr="00FB52BA" w14:paraId="42FC7AD4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10A6D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Гъвкавост на системата</w:t>
            </w:r>
          </w:p>
        </w:tc>
        <w:tc>
          <w:tcPr>
            <w:tcW w:w="0" w:type="auto"/>
            <w:vAlign w:val="center"/>
            <w:hideMark/>
          </w:tcPr>
          <w:p w14:paraId="7CE9BDA7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По-гъвкава, ориентирана към съдържанието</w:t>
            </w:r>
          </w:p>
        </w:tc>
        <w:tc>
          <w:tcPr>
            <w:tcW w:w="0" w:type="auto"/>
            <w:vAlign w:val="center"/>
            <w:hideMark/>
          </w:tcPr>
          <w:p w14:paraId="2E1DA98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По-строга, ориентирана към административни изисквания</w:t>
            </w:r>
          </w:p>
        </w:tc>
      </w:tr>
      <w:tr w:rsidR="00FB52BA" w:rsidRPr="00FB52BA" w14:paraId="07E1E205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DCF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Комуникация</w:t>
            </w:r>
          </w:p>
        </w:tc>
        <w:tc>
          <w:tcPr>
            <w:tcW w:w="0" w:type="auto"/>
            <w:vAlign w:val="center"/>
            <w:hideMark/>
          </w:tcPr>
          <w:p w14:paraId="1B2B158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Чрез вграден модул с Европейската комисия</w:t>
            </w:r>
          </w:p>
        </w:tc>
        <w:tc>
          <w:tcPr>
            <w:tcW w:w="0" w:type="auto"/>
            <w:vAlign w:val="center"/>
            <w:hideMark/>
          </w:tcPr>
          <w:p w14:paraId="5EE4BAD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Чрез системата с управляващия орган</w:t>
            </w:r>
          </w:p>
        </w:tc>
      </w:tr>
      <w:tr w:rsidR="00FB52BA" w:rsidRPr="00FB52BA" w14:paraId="0109867A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88798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Ниво на сложност</w:t>
            </w:r>
          </w:p>
        </w:tc>
        <w:tc>
          <w:tcPr>
            <w:tcW w:w="0" w:type="auto"/>
            <w:vAlign w:val="center"/>
            <w:hideMark/>
          </w:tcPr>
          <w:p w14:paraId="7F66D1B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Високо концептуално ниво</w:t>
            </w:r>
          </w:p>
        </w:tc>
        <w:tc>
          <w:tcPr>
            <w:tcW w:w="0" w:type="auto"/>
            <w:vAlign w:val="center"/>
            <w:hideMark/>
          </w:tcPr>
          <w:p w14:paraId="26896C39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Високо административно ниво</w:t>
            </w:r>
          </w:p>
        </w:tc>
      </w:tr>
      <w:tr w:rsidR="00FB52BA" w:rsidRPr="00FB52BA" w14:paraId="4F5BBCCC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89989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Типични трудности</w:t>
            </w:r>
          </w:p>
        </w:tc>
        <w:tc>
          <w:tcPr>
            <w:tcW w:w="0" w:type="auto"/>
            <w:vAlign w:val="center"/>
            <w:hideMark/>
          </w:tcPr>
          <w:p w14:paraId="5EA704D8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Формулиране на проектна логика и въздействие</w:t>
            </w:r>
          </w:p>
        </w:tc>
        <w:tc>
          <w:tcPr>
            <w:tcW w:w="0" w:type="auto"/>
            <w:vAlign w:val="center"/>
            <w:hideMark/>
          </w:tcPr>
          <w:p w14:paraId="4871C33C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Спазване на формални изисквания и документи</w:t>
            </w:r>
          </w:p>
        </w:tc>
      </w:tr>
      <w:tr w:rsidR="00FB52BA" w:rsidRPr="00FB52BA" w14:paraId="20107784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6BC73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Предимства</w:t>
            </w:r>
          </w:p>
        </w:tc>
        <w:tc>
          <w:tcPr>
            <w:tcW w:w="0" w:type="auto"/>
            <w:vAlign w:val="center"/>
            <w:hideMark/>
          </w:tcPr>
          <w:p w14:paraId="39582F3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Единна система, международен обхват, стратегическа ориентация</w:t>
            </w:r>
          </w:p>
        </w:tc>
        <w:tc>
          <w:tcPr>
            <w:tcW w:w="0" w:type="auto"/>
            <w:vAlign w:val="center"/>
            <w:hideMark/>
          </w:tcPr>
          <w:p w14:paraId="0717331C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Ясни процедури, структурираност, проследимост</w:t>
            </w:r>
          </w:p>
        </w:tc>
      </w:tr>
      <w:tr w:rsidR="00FB52BA" w:rsidRPr="00FB52BA" w14:paraId="224DC8BA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5BB3A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Недостатъци</w:t>
            </w:r>
          </w:p>
        </w:tc>
        <w:tc>
          <w:tcPr>
            <w:tcW w:w="0" w:type="auto"/>
            <w:vAlign w:val="center"/>
            <w:hideMark/>
          </w:tcPr>
          <w:p w14:paraId="66AC635B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Изисква висока проектна експертиза</w:t>
            </w:r>
          </w:p>
        </w:tc>
        <w:tc>
          <w:tcPr>
            <w:tcW w:w="0" w:type="auto"/>
            <w:vAlign w:val="center"/>
            <w:hideMark/>
          </w:tcPr>
          <w:p w14:paraId="7E6C783D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Висока административна тежест</w:t>
            </w:r>
          </w:p>
        </w:tc>
      </w:tr>
    </w:tbl>
    <w:p w14:paraId="1D1A581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6B35AD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Сравнителният анализ показва, че двете електронни системи изпълняват сходни функции, но се различават съществено по своята логика, структура и изисквания. EU Funding &amp; Tenders Portal е ориентирана към стратегическо разработване на проектни предложения, като акцентът е върху съдържанието, въздействието и международното партньорство. За разлика от нея, ИСУН следва по-строга административна рамка, при която водещо значение има прецизното спазване на формалните изисквания и коректното обработване на документацията.</w:t>
      </w:r>
    </w:p>
    <w:p w14:paraId="79B142D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205F518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 xml:space="preserve">Тези различия предполагат необходимост от адаптиране на подхода при кандидатстване в зависимост от използваната платформа. Успешното участие </w:t>
      </w: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в процедурите изисква както стратегическо мислене и умения за разработване на проектни идеи, така и висока степен на административна дисциплина и внимание към детайлите.</w:t>
      </w:r>
    </w:p>
    <w:p w14:paraId="03C6C2A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</w:p>
    <w:p w14:paraId="7B26D6C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 xml:space="preserve">6. </w:t>
      </w:r>
      <w:bookmarkStart w:id="2" w:name="_Hlk226725792"/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ПРЕДИЗВИКАТЕЛСТВА И ЧЕСТИ ПРОБЛЕМИ</w:t>
      </w:r>
      <w:bookmarkEnd w:id="2"/>
    </w:p>
    <w:p w14:paraId="1C0BC85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6373BA"/>
          <w:kern w:val="0"/>
          <w:lang w:eastAsia="bg-BG"/>
          <w14:ligatures w14:val="none"/>
        </w:rPr>
      </w:pPr>
    </w:p>
    <w:p w14:paraId="0B11CFA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Анализът на практиката показва, че основните трудности при работа с електронните платформи не произтичат от тяхната сложност, а от:</w:t>
      </w:r>
    </w:p>
    <w:p w14:paraId="4557306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CE89BE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• трудности при регистрация и идентификация;</w:t>
      </w:r>
    </w:p>
    <w:p w14:paraId="42B11D5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• объркване при навигация в системата;</w:t>
      </w:r>
    </w:p>
    <w:p w14:paraId="1FBF968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• непълно попълване на формуляри;</w:t>
      </w:r>
    </w:p>
    <w:p w14:paraId="13FF9A6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• пропуски при прикачване на документи;</w:t>
      </w:r>
    </w:p>
    <w:p w14:paraId="4FD352E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• неспазване на срокове.</w:t>
      </w:r>
    </w:p>
    <w:p w14:paraId="79217BC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496832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Тези проблеми могат да бъдат избегнати чрез систематичен подход, внимателно следване на инструкциите и добра предварителна подготовка.</w:t>
      </w:r>
    </w:p>
    <w:p w14:paraId="6D31F40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06BF60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Умението за работа с електронни платформи представлява важна част от организационния капацитет. То позволява не само успешно кандидатстване, но и ефективно управление на проектите след тяхното одобрение.</w:t>
      </w:r>
    </w:p>
    <w:p w14:paraId="38CB496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9CCF2B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Електронните платформи EU Funding &amp; Tenders Portal и ИСУН са основни инструменти за участие в програми на Европейския съюз. Те осигуряват стандартизирана и прозрачна среда за кандидатстване, но изискват внимателен и структуриран подход.</w:t>
      </w:r>
    </w:p>
    <w:p w14:paraId="7687B2E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2818"/>
        <w:gridCol w:w="3598"/>
      </w:tblGrid>
      <w:tr w:rsidR="00FB52BA" w:rsidRPr="00FB52BA" w14:paraId="59F7730A" w14:textId="77777777" w:rsidTr="00050668">
        <w:trPr>
          <w:tblHeader/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4EE6A3F4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ПРОБЛЕМ</w:t>
            </w:r>
          </w:p>
        </w:tc>
        <w:tc>
          <w:tcPr>
            <w:tcW w:w="0" w:type="auto"/>
            <w:shd w:val="clear" w:color="auto" w:fill="D0CECE"/>
            <w:vAlign w:val="center"/>
            <w:hideMark/>
          </w:tcPr>
          <w:p w14:paraId="012C9A4A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ПРИЧИНА</w:t>
            </w:r>
          </w:p>
        </w:tc>
        <w:tc>
          <w:tcPr>
            <w:tcW w:w="0" w:type="auto"/>
            <w:shd w:val="clear" w:color="auto" w:fill="D0CECE"/>
            <w:vAlign w:val="center"/>
            <w:hideMark/>
          </w:tcPr>
          <w:p w14:paraId="2727C9C6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РЕШЕНИЕ</w:t>
            </w:r>
          </w:p>
          <w:p w14:paraId="3C746FF2" w14:textId="77777777" w:rsidR="00FB52BA" w:rsidRPr="00FB52BA" w:rsidRDefault="00FB52BA" w:rsidP="00FB52B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</w:pPr>
          </w:p>
        </w:tc>
      </w:tr>
      <w:tr w:rsidR="00FB52BA" w:rsidRPr="00FB52BA" w14:paraId="3AD883EB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519C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Грешки при регистрация (PIC или профил в ИСУН)</w:t>
            </w:r>
          </w:p>
        </w:tc>
        <w:tc>
          <w:tcPr>
            <w:tcW w:w="0" w:type="auto"/>
            <w:vAlign w:val="center"/>
            <w:hideMark/>
          </w:tcPr>
          <w:p w14:paraId="2FBBBF24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Непълни или некоректни данни; липса на проверка</w:t>
            </w:r>
          </w:p>
        </w:tc>
        <w:tc>
          <w:tcPr>
            <w:tcW w:w="0" w:type="auto"/>
            <w:vAlign w:val="center"/>
            <w:hideMark/>
          </w:tcPr>
          <w:p w14:paraId="50A0909C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Предварителна проверка на въведената информация; използване на официални документи; вътрешен контрол от второ лице</w:t>
            </w:r>
          </w:p>
        </w:tc>
      </w:tr>
      <w:tr w:rsidR="00FB52BA" w:rsidRPr="00FB52BA" w14:paraId="5D6E102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9A0A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Пропуснати задължителни документи</w:t>
            </w:r>
          </w:p>
        </w:tc>
        <w:tc>
          <w:tcPr>
            <w:tcW w:w="0" w:type="auto"/>
            <w:vAlign w:val="center"/>
            <w:hideMark/>
          </w:tcPr>
          <w:p w14:paraId="66A49E59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Липса на систематичен списък; непознаване на изискванията</w:t>
            </w:r>
          </w:p>
        </w:tc>
        <w:tc>
          <w:tcPr>
            <w:tcW w:w="0" w:type="auto"/>
            <w:vAlign w:val="center"/>
            <w:hideMark/>
          </w:tcPr>
          <w:p w14:paraId="545BB650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Изготвяне на чеклист; внимателно преглеждане на насоките; проверка преди подаване</w:t>
            </w:r>
          </w:p>
        </w:tc>
      </w:tr>
      <w:tr w:rsidR="00FB52BA" w:rsidRPr="00FB52BA" w14:paraId="49B46A9A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F6483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Непълно попълнени формуляри</w:t>
            </w:r>
          </w:p>
        </w:tc>
        <w:tc>
          <w:tcPr>
            <w:tcW w:w="0" w:type="auto"/>
            <w:vAlign w:val="center"/>
            <w:hideMark/>
          </w:tcPr>
          <w:p w14:paraId="666FF17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Пропускане на секции; недобро разбиране на въпросите</w:t>
            </w:r>
          </w:p>
        </w:tc>
        <w:tc>
          <w:tcPr>
            <w:tcW w:w="0" w:type="auto"/>
            <w:vAlign w:val="center"/>
            <w:hideMark/>
          </w:tcPr>
          <w:p w14:paraId="6F8E85EB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Попълване поетапно; преглед на всички раздели; използване на режим „чернова“</w:t>
            </w:r>
          </w:p>
        </w:tc>
      </w:tr>
      <w:tr w:rsidR="00FB52BA" w:rsidRPr="00FB52BA" w14:paraId="3B86C064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A74E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Грешки във формата на файловете</w:t>
            </w:r>
          </w:p>
        </w:tc>
        <w:tc>
          <w:tcPr>
            <w:tcW w:w="0" w:type="auto"/>
            <w:vAlign w:val="center"/>
            <w:hideMark/>
          </w:tcPr>
          <w:p w14:paraId="7412BAE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Неспазване на изискванията (PDF, размер, подпис)</w:t>
            </w:r>
          </w:p>
        </w:tc>
        <w:tc>
          <w:tcPr>
            <w:tcW w:w="0" w:type="auto"/>
            <w:vAlign w:val="center"/>
            <w:hideMark/>
          </w:tcPr>
          <w:p w14:paraId="0D98D74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Проверка на техническите изисквания; предварителна подготовка на документите в правилния формат</w:t>
            </w:r>
          </w:p>
        </w:tc>
      </w:tr>
      <w:tr w:rsidR="00FB52BA" w:rsidRPr="00FB52BA" w14:paraId="24752609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F85C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lastRenderedPageBreak/>
              <w:t>Закъснение при подаване</w:t>
            </w:r>
          </w:p>
        </w:tc>
        <w:tc>
          <w:tcPr>
            <w:tcW w:w="0" w:type="auto"/>
            <w:vAlign w:val="center"/>
            <w:hideMark/>
          </w:tcPr>
          <w:p w14:paraId="0C0B3D9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Лошо управление на времето; технически проблеми в последния момент</w:t>
            </w:r>
          </w:p>
        </w:tc>
        <w:tc>
          <w:tcPr>
            <w:tcW w:w="0" w:type="auto"/>
            <w:vAlign w:val="center"/>
            <w:hideMark/>
          </w:tcPr>
          <w:p w14:paraId="26479D9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Планиране с краен срок поне 1–2 дни по-рано; избягване на подаване в последния момент</w:t>
            </w:r>
          </w:p>
        </w:tc>
      </w:tr>
      <w:tr w:rsidR="00FB52BA" w:rsidRPr="00FB52BA" w14:paraId="4E25D5C6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0F6F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Трудности при навигация в системата</w:t>
            </w:r>
          </w:p>
        </w:tc>
        <w:tc>
          <w:tcPr>
            <w:tcW w:w="0" w:type="auto"/>
            <w:vAlign w:val="center"/>
            <w:hideMark/>
          </w:tcPr>
          <w:p w14:paraId="0050524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Липса на опит; непознаване на интерфейса</w:t>
            </w:r>
          </w:p>
        </w:tc>
        <w:tc>
          <w:tcPr>
            <w:tcW w:w="0" w:type="auto"/>
            <w:vAlign w:val="center"/>
            <w:hideMark/>
          </w:tcPr>
          <w:p w14:paraId="2472409F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Предварително запознаване със системата; използване на ръководства и обучения</w:t>
            </w:r>
          </w:p>
        </w:tc>
      </w:tr>
      <w:tr w:rsidR="00FB52BA" w:rsidRPr="00FB52BA" w14:paraId="5D94DF04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6F622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Несъответствие между различни части на проекта</w:t>
            </w:r>
          </w:p>
        </w:tc>
        <w:tc>
          <w:tcPr>
            <w:tcW w:w="0" w:type="auto"/>
            <w:vAlign w:val="center"/>
            <w:hideMark/>
          </w:tcPr>
          <w:p w14:paraId="009D2ABB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Липса на координация при попълване</w:t>
            </w:r>
          </w:p>
        </w:tc>
        <w:tc>
          <w:tcPr>
            <w:tcW w:w="0" w:type="auto"/>
            <w:vAlign w:val="center"/>
            <w:hideMark/>
          </w:tcPr>
          <w:p w14:paraId="287CFA23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Преглед на целия формуляр за логическа свързаност; работа от един отговорен координатор</w:t>
            </w:r>
          </w:p>
        </w:tc>
      </w:tr>
      <w:tr w:rsidR="00FB52BA" w:rsidRPr="00FB52BA" w14:paraId="606441FB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C7AAD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Грешки в бюджета</w:t>
            </w:r>
          </w:p>
        </w:tc>
        <w:tc>
          <w:tcPr>
            <w:tcW w:w="0" w:type="auto"/>
            <w:vAlign w:val="center"/>
            <w:hideMark/>
          </w:tcPr>
          <w:p w14:paraId="323B1551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Недостатъчно разбиране на правилата за допустимост</w:t>
            </w:r>
          </w:p>
        </w:tc>
        <w:tc>
          <w:tcPr>
            <w:tcW w:w="0" w:type="auto"/>
            <w:vAlign w:val="center"/>
            <w:hideMark/>
          </w:tcPr>
          <w:p w14:paraId="1FAD8F6E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Консултация с финансов експерт; съобразяване с указанията на програмата</w:t>
            </w:r>
          </w:p>
        </w:tc>
      </w:tr>
      <w:tr w:rsidR="00FB52BA" w:rsidRPr="00FB52BA" w14:paraId="0871B5FD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41DEB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Липса на електронен подпис (когато е необходим)</w:t>
            </w:r>
          </w:p>
        </w:tc>
        <w:tc>
          <w:tcPr>
            <w:tcW w:w="0" w:type="auto"/>
            <w:vAlign w:val="center"/>
            <w:hideMark/>
          </w:tcPr>
          <w:p w14:paraId="2D3C6AC8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Неподготвеност или технически пропуск</w:t>
            </w:r>
          </w:p>
        </w:tc>
        <w:tc>
          <w:tcPr>
            <w:tcW w:w="0" w:type="auto"/>
            <w:vAlign w:val="center"/>
            <w:hideMark/>
          </w:tcPr>
          <w:p w14:paraId="01D94D28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Осигуряване на валиден електронен подпис предварително; проверка на неговата валидност</w:t>
            </w:r>
          </w:p>
        </w:tc>
      </w:tr>
      <w:tr w:rsidR="00FB52BA" w:rsidRPr="00FB52BA" w14:paraId="4DE28412" w14:textId="77777777" w:rsidTr="00050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F5A75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b/>
                <w:bCs/>
                <w:kern w:val="0"/>
                <w:lang w:eastAsia="bg-BG"/>
                <w14:ligatures w14:val="none"/>
              </w:rPr>
              <w:t>Комуникационни пропуски с управляващия орган</w:t>
            </w:r>
          </w:p>
        </w:tc>
        <w:tc>
          <w:tcPr>
            <w:tcW w:w="0" w:type="auto"/>
            <w:vAlign w:val="center"/>
            <w:hideMark/>
          </w:tcPr>
          <w:p w14:paraId="1E1DFB6C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Непроследяване на съобщения в системата</w:t>
            </w:r>
          </w:p>
        </w:tc>
        <w:tc>
          <w:tcPr>
            <w:tcW w:w="0" w:type="auto"/>
            <w:vAlign w:val="center"/>
            <w:hideMark/>
          </w:tcPr>
          <w:p w14:paraId="7F4324AA" w14:textId="77777777" w:rsidR="00FB52BA" w:rsidRPr="00FB52BA" w:rsidRDefault="00FB52BA" w:rsidP="00FB52BA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</w:pPr>
            <w:r w:rsidRPr="00FB52BA">
              <w:rPr>
                <w:rFonts w:ascii="Trebuchet MS" w:eastAsia="Times New Roman" w:hAnsi="Trebuchet MS" w:cs="Times New Roman"/>
                <w:kern w:val="0"/>
                <w:lang w:eastAsia="bg-BG"/>
                <w14:ligatures w14:val="none"/>
              </w:rPr>
              <w:t>Редовно проверяване на профила и входящите съобщения; определяне на отговорно лице</w:t>
            </w:r>
          </w:p>
        </w:tc>
      </w:tr>
    </w:tbl>
    <w:p w14:paraId="05F1793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BC2E75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Разбирането на логиката, структурата и изискванията на електронните платформи, както и прилагането на вътрешни организационни механизми (като чеклисти и двойна проверка), значително намаляват риска от грешки и подпомагат повишаването на качеството на кандидатурите.</w:t>
      </w:r>
    </w:p>
    <w:p w14:paraId="1F31408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 натрупването на опит, работата с тези системи се превръща в рутинен процес, който позволява на организациите да се фокусират върху съдържателната част на проектите, а не върху техническите аспекти.</w:t>
      </w:r>
    </w:p>
    <w:p w14:paraId="3F85720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154E81"/>
          <w:kern w:val="0"/>
          <w:lang w:eastAsia="bg-BG"/>
          <w14:ligatures w14:val="none"/>
        </w:rPr>
      </w:pPr>
    </w:p>
    <w:p w14:paraId="7D74617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154E81"/>
          <w:kern w:val="0"/>
          <w:lang w:eastAsia="bg-BG"/>
          <w14:ligatures w14:val="none"/>
        </w:rPr>
        <w:t>7. ЗАКЛЮЧЕНИЕ</w:t>
      </w:r>
    </w:p>
    <w:p w14:paraId="74CBF3C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4F54530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Електронните системи представляват ключов инструмент за достъп до финансиране от Европейския съюз и за управление на проектния цикъл в съвременната административна среда. Тяхната роля обхваща всички етапи – от идентифициране на възможности до отчитане на резултатите.</w:t>
      </w:r>
    </w:p>
    <w:p w14:paraId="71028B8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Анализът на основните платформи – EU Funding &amp; Tenders Portal и ИСУН – показва, че успешното кандидатстване изисква съобразяване със специфичната логика на всяка система. Докато европейската платформа предполага по-стратегически подход, националната система изисква висока степен на административна прецизност.</w:t>
      </w:r>
    </w:p>
    <w:p w14:paraId="09B0E07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този контекст, разбирането на структурата и изискванията на електронните системи се превръща в ключово условие за ефективно участие в програми за финансиране и за повишаване на качеството на проектните предложения.</w:t>
      </w:r>
    </w:p>
    <w:p w14:paraId="61A0F8D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С натрупването на практически опит организациите изграждат устойчиви умения за работа с тези инструменти, което им позволява да оптимизират процеса на кандидатстване и да се фокусират върху съдържателната стойност на проектите.</w:t>
      </w:r>
    </w:p>
    <w:p w14:paraId="777763B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A3936E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FFB0FA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1D94898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66CF6A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7D3F531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01644F5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00445AF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9620BC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216A74B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0C0BA2DD" w14:textId="77777777" w:rsidR="00FB52BA" w:rsidRPr="00FB52BA" w:rsidRDefault="00FB52BA" w:rsidP="00FB52B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Cs/>
          <w:iCs/>
          <w:spacing w:val="-2"/>
          <w:kern w:val="0"/>
          <w:shd w:val="clear" w:color="auto" w:fill="FFFFFF"/>
          <w:lang w:eastAsia="bg-BG"/>
          <w14:ligatures w14:val="none"/>
        </w:rPr>
      </w:pPr>
    </w:p>
    <w:p w14:paraId="3573B5BA" w14:textId="77777777" w:rsidR="00FB52BA" w:rsidRPr="00FB52BA" w:rsidRDefault="00FB52BA" w:rsidP="00FB52BA">
      <w:pPr>
        <w:keepNext/>
        <w:keepLines/>
        <w:spacing w:before="360" w:after="80"/>
        <w:outlineLvl w:val="0"/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</w:pPr>
      <w:bookmarkStart w:id="3" w:name="_Toc227593279"/>
      <w:r w:rsidRPr="00FB52BA">
        <w:rPr>
          <w:rFonts w:ascii="Trebuchet MS" w:eastAsia="Calibri" w:hAnsi="Trebuchet MS" w:cs="Times New Roman"/>
          <w:b/>
          <w:bCs/>
          <w:color w:val="154E81"/>
          <w:sz w:val="28"/>
          <w:szCs w:val="28"/>
          <w:lang w:eastAsia="bg-BG"/>
          <w14:ligatures w14:val="none"/>
        </w:rPr>
        <w:t>УРОК 11: ДЕМОНСТРАЦИЯ НА РАБОТА С ЕЛЕКТРОННИ ПЛАТФОРМИ</w:t>
      </w:r>
      <w:bookmarkEnd w:id="3"/>
    </w:p>
    <w:p w14:paraId="330F785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7387636F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РОЛЯ НА ПРАКТИЧЕСКАТА РАБОТА С ПЛАТФОРМИТЕ</w:t>
      </w:r>
    </w:p>
    <w:p w14:paraId="2BFE996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108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614EE20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 процеса на кандидатстване за европейско финансиране разбирането на теоретичните аспекти на електронните системи следва да бъде допълнено с практическо познаване на тяхната структура и начин на функциониране. Демонстрацията на работа с платформи като EU Funding &amp; Tenders Portal и ИСУН има за цел да изгради реална представа за средата, в която се осъществява кандидатстването.</w:t>
      </w:r>
    </w:p>
    <w:p w14:paraId="2A42CEF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За разлика от теоретичното описание, практическото запознаване със системите позволява да се проследи логиката на действията, които следва да бъдат извършени в процеса на кандидатстване, както и да се идентифицират ключовите елементи, които определят успешното участие в процедурите. В съвременния програмен период практическата работа с електронни системи не е допълнение към кандидатстването, а негов основен компонент.</w:t>
      </w:r>
    </w:p>
    <w:p w14:paraId="600A7CB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0D5F9861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 xml:space="preserve">ОРИЕНТАЦИЯ В СТРУКТУРАТА НА ПЛАТФОРМАТА </w:t>
      </w:r>
    </w:p>
    <w:p w14:paraId="27658C8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1080" w:right="3"/>
        <w:jc w:val="both"/>
        <w:rPr>
          <w:rFonts w:ascii="Trebuchet MS" w:eastAsia="Times New Roman" w:hAnsi="Trebuchet MS" w:cs="Times New Roman"/>
          <w:b/>
          <w:color w:val="5B9BD5"/>
          <w:kern w:val="0"/>
          <w:u w:val="thick"/>
          <w:lang w:eastAsia="bg-BG"/>
          <w14:ligatures w14:val="none"/>
        </w:rPr>
      </w:pPr>
    </w:p>
    <w:p w14:paraId="7DCD790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Първата стъпка при работа с електронна система е свързана с ориентацията в нейната структура. Платформите са изградени като интегрирана среда, в която всички основни функции са обединени в единен интерфейс.</w:t>
      </w:r>
    </w:p>
    <w:p w14:paraId="4EA8D4C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Обикновено системите включват няколко основни раздела, които позволяват:</w:t>
      </w:r>
    </w:p>
    <w:p w14:paraId="3DF81BB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достъп до активни покани</w:t>
      </w:r>
    </w:p>
    <w:p w14:paraId="724CA04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управление на профила на организацията</w:t>
      </w:r>
    </w:p>
    <w:p w14:paraId="00AEEC9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работа с проектни предложения</w:t>
      </w:r>
    </w:p>
    <w:p w14:paraId="51B61F8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комуникация с управляващите органи</w:t>
      </w:r>
    </w:p>
    <w:p w14:paraId="52E3BE3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Разбирането на тази структура е от съществено значение, тъй като позволява позволява бърза ориентация и ефективно намиране на необходимата информация.</w:t>
      </w:r>
    </w:p>
    <w:p w14:paraId="0604BF7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lastRenderedPageBreak/>
        <w:t>Особено важно е да се подчертае, че електронните системи не функционират като статични уеб страници, а като динамична работна среда, в която всяко действие води до следващ етап от процеса.</w:t>
      </w:r>
    </w:p>
    <w:p w14:paraId="7F32D5C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C403C69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ПРОЦЕС НА ИДЕНТИФИЦИРАНЕ НА ПОКАНИ</w:t>
      </w:r>
    </w:p>
    <w:p w14:paraId="275A719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53C3B75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След ориентацията в платформата, следващият ключов етап е свързан с идентифицирането на подходяща покана за кандидатстване. Това е процес, който изисква не само техническо умение за работа със системата, но и аналитичен подход.</w:t>
      </w:r>
    </w:p>
    <w:p w14:paraId="165C90F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Платформите предоставят възможност за преглед на отворени процедури, като всяка покана съдържа структурирана информация относно:</w:t>
      </w:r>
    </w:p>
    <w:p w14:paraId="78332FB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цели на финансирането</w:t>
      </w:r>
    </w:p>
    <w:p w14:paraId="5EB9AE2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допустими дейности</w:t>
      </w:r>
    </w:p>
    <w:p w14:paraId="145C17E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изисквания към кандидатите</w:t>
      </w:r>
    </w:p>
    <w:p w14:paraId="2C0E59D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условия за партньорство</w:t>
      </w:r>
    </w:p>
    <w:p w14:paraId="3D99E4F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· срокове за кандидатстване</w:t>
      </w:r>
    </w:p>
    <w:p w14:paraId="53F20A0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Важно е да се разбере, че изборът на покана не следва да се основава единствено на финансовите параметри, а на съответствието между изискванията на процедурата и капацитета на организацията.</w:t>
      </w:r>
    </w:p>
    <w:p w14:paraId="0778C6F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Неправилният избор на покана е една от най-честите причини за неуспешно кандидатстване.</w:t>
      </w:r>
    </w:p>
    <w:p w14:paraId="3F76436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3703C2E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i/>
          <w:iCs/>
          <w:kern w:val="0"/>
          <w:u w:val="thick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i/>
          <w:iCs/>
          <w:kern w:val="0"/>
          <w:u w:val="thick"/>
          <w:lang w:eastAsia="bg-BG"/>
          <w14:ligatures w14:val="none"/>
        </w:rPr>
        <w:t>Илюстративен пример:</w:t>
      </w:r>
    </w:p>
    <w:p w14:paraId="265993A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Организация без международен опит избира покана с висок бюджет, изискваща участие на множество партньори от различни държави. Въпреки наличието на добра проектна идея, липсата на необходимия капацитет и партньорства води до невъзможност за реално участие.</w:t>
      </w:r>
    </w:p>
    <w:p w14:paraId="558339A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  <w:t>Този пример показва, че неправилният избор на покана може да компрометира проекта още на начален етап.</w:t>
      </w:r>
    </w:p>
    <w:p w14:paraId="264875E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kern w:val="0"/>
          <w:lang w:eastAsia="bg-BG"/>
          <w14:ligatures w14:val="none"/>
        </w:rPr>
      </w:pPr>
    </w:p>
    <w:p w14:paraId="44E08A91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ДОСТЪП ДО ДОКУМЕНТАЦИЯ И НАСОКИ ЗА КАНДИДАТСТВАНЕ</w:t>
      </w:r>
    </w:p>
    <w:p w14:paraId="7530C07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/>
          <w:color w:val="5B9BD5"/>
          <w:kern w:val="0"/>
          <w:u w:val="thick"/>
          <w:lang w:eastAsia="bg-BG"/>
          <w14:ligatures w14:val="none"/>
        </w:rPr>
      </w:pPr>
    </w:p>
    <w:p w14:paraId="6A55066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Всяка покана е придружена от набор от документи, които определят условията за кандидатстване. Тези документи включват насоки, технически спецификации и образци, които имат задължителен характер.</w:t>
      </w:r>
    </w:p>
    <w:p w14:paraId="5AE4520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Работата с електронната платформа предполага умение за намиране и използване на тази информация. Необходимо е да се отчете, че системата не предоставя само възможност за подаване на проект, а и пълния контекст, необходим за неговото разработване.</w:t>
      </w:r>
    </w:p>
    <w:p w14:paraId="042C770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Пренебрегването на насоките и изискванията често води до допускане на съществени грешки, които могат да компрометират проектното предложение.</w:t>
      </w:r>
    </w:p>
    <w:p w14:paraId="38DEBA6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3A2EFF7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СТРУКТУРА И ЛОГИКА НА ЕЛЕКТРОННИЯ ФОРМУЛЯР</w:t>
      </w:r>
    </w:p>
    <w:p w14:paraId="2CDCC70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CCCFBE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Съществен елемент от работата с платформите е електронният формуляр за кандидатстване. Той представлява структурирана рамка, в която се представя проектното предложение.</w:t>
      </w:r>
    </w:p>
    <w:p w14:paraId="4EE910B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Формулярът е организиран в отделни раздели, които отразяват основните компоненти на проекта, като:</w:t>
      </w:r>
    </w:p>
    <w:p w14:paraId="5E32BB4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описание на проблема и целите</w:t>
      </w:r>
    </w:p>
    <w:p w14:paraId="5B47969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планирани дейности</w:t>
      </w:r>
    </w:p>
    <w:p w14:paraId="64690C1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очаквани резултати</w:t>
      </w:r>
    </w:p>
    <w:p w14:paraId="2D0214D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партньорства</w:t>
      </w:r>
    </w:p>
    <w:p w14:paraId="43E65C5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бюджет</w:t>
      </w:r>
    </w:p>
    <w:p w14:paraId="77704B9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Тези елементи не съществуват самостоятелно, а са взаимосвързани. Логическата последователност между тях е от съществено значение за качеството на проектното предложение.</w:t>
      </w:r>
    </w:p>
    <w:p w14:paraId="2A10DA97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Платформите изискват пълно и последователно попълване на информацията, като непълни или несъгласувани данни могат да доведат до невъзможност за подаване или до негативна оценка.</w:t>
      </w:r>
    </w:p>
    <w:p w14:paraId="639E9AB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6A21960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  <w:t>ОСНОВНИ ФУНКЦИОНАЛНОСТИ И РАБОТА С ДАННИ</w:t>
      </w:r>
    </w:p>
    <w:p w14:paraId="23B448E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1080" w:right="3"/>
        <w:jc w:val="both"/>
        <w:rPr>
          <w:rFonts w:ascii="Trebuchet MS" w:eastAsia="Times New Roman" w:hAnsi="Trebuchet MS" w:cs="Times New Roman"/>
          <w:b/>
          <w:color w:val="0033CC"/>
          <w:kern w:val="0"/>
          <w:lang w:eastAsia="bg-BG"/>
          <w14:ligatures w14:val="none"/>
        </w:rPr>
      </w:pPr>
    </w:p>
    <w:p w14:paraId="565C7A6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Електронните системи предоставят редица функционалности, които подпомагат процеса на кандидатстване. Сред тях особено значение имат:</w:t>
      </w:r>
    </w:p>
    <w:p w14:paraId="34D1017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възможността за поетапно попълване на информацията</w:t>
      </w:r>
    </w:p>
    <w:p w14:paraId="5131D43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автоматични проверки за липсващи данни</w:t>
      </w:r>
    </w:p>
    <w:p w14:paraId="7FA8608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прикачване на документи</w:t>
      </w:r>
    </w:p>
    <w:p w14:paraId="798D287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преглед и валидиране на формуляра</w:t>
      </w:r>
    </w:p>
    <w:p w14:paraId="375620E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Тези функции имат за цел да улеснят кандидатите, но същевременно изискват внимателно и систематично използване.</w:t>
      </w:r>
    </w:p>
    <w:p w14:paraId="7E38A59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Практиката показва, че успешното кандидатстване е резултат не от техническите възможности на системата, а от начина, по който потребителят организира своята работа.</w:t>
      </w:r>
    </w:p>
    <w:p w14:paraId="5E34843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1FC20CFA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  <w:t xml:space="preserve">ЛОГИКА НА РАБОТА И ПОСЛЕДОВАТЕЛНОСТ НА ДЕЙСТВИЯТА </w:t>
      </w:r>
    </w:p>
    <w:p w14:paraId="72788D1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Работата с електронните платформи следва ясна логическа последователност, която включва:</w:t>
      </w:r>
    </w:p>
    <w:p w14:paraId="15CA7784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регистрация и идентификация</w:t>
      </w:r>
    </w:p>
    <w:p w14:paraId="1357BEA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избор на покана</w:t>
      </w:r>
    </w:p>
    <w:p w14:paraId="283A9D6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анализ на изискванията</w:t>
      </w:r>
    </w:p>
    <w:p w14:paraId="6BB57F3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попълване на формуляр</w:t>
      </w:r>
    </w:p>
    <w:p w14:paraId="2CDE320E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прикачване на документи</w:t>
      </w:r>
    </w:p>
    <w:p w14:paraId="63330B3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· проверка и подаване</w:t>
      </w:r>
    </w:p>
    <w:p w14:paraId="3843204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Пропускането или неправилното изпълнение на който и да е от тези етапи може да доведе до сериозни затруднения или до неуспех на кандидатстването.</w:t>
      </w:r>
    </w:p>
    <w:p w14:paraId="023A9DC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Ето защо е важно е процесът да се възприема като система от взаимосвързани действия, а не като отделни технически стъпки.</w:t>
      </w:r>
    </w:p>
    <w:p w14:paraId="1DC3046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Тази последователност отразява реалната работа в платформите и следва да бъде стриктно спазвана при всяко кандидатстване.</w:t>
      </w:r>
    </w:p>
    <w:p w14:paraId="5D8BBC1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Практическа демонстрация (примерен сценарий)</w:t>
      </w:r>
    </w:p>
    <w:p w14:paraId="54BC317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За по-добро разбиране на работата с електронните платформи може да се разгледа следният примерен сценарий:</w:t>
      </w:r>
    </w:p>
    <w:p w14:paraId="52C3BF3C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Влизане в платформата и достъп до профила на организацията;</w:t>
      </w:r>
    </w:p>
    <w:p w14:paraId="3A8C426E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lastRenderedPageBreak/>
        <w:t>Преглед на активни покани и избор на подходяща процедура;</w:t>
      </w:r>
    </w:p>
    <w:p w14:paraId="31DD4370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Отваряне на поканата и запознаване с документацията;</w:t>
      </w:r>
    </w:p>
    <w:p w14:paraId="1070F27D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Създаване на проектно предложение;</w:t>
      </w:r>
    </w:p>
    <w:p w14:paraId="58134DDF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Попълване на основните раздели на формуляра;</w:t>
      </w:r>
    </w:p>
    <w:p w14:paraId="779F4125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Прикачване на необходимите документи;</w:t>
      </w:r>
    </w:p>
    <w:p w14:paraId="3393202E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Проверка на пълнотата на информацията;</w:t>
      </w:r>
    </w:p>
    <w:p w14:paraId="2E464261" w14:textId="77777777" w:rsidR="00FB52BA" w:rsidRPr="00FB52BA" w:rsidRDefault="00FB52BA" w:rsidP="00FB52BA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Подаване на проекта чрез системата.</w:t>
      </w:r>
    </w:p>
    <w:p w14:paraId="586D4985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3AA5BB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Тази последователност отразява реалната работа в електронните системи и показва основните действия, които кандидатът трябва да извърши.</w:t>
      </w:r>
    </w:p>
    <w:p w14:paraId="698C701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BB5E811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  <w:t>ПРАКТИЧЕСКА ОРИЕНТАЦИЯ ПРИ РАБОТА С ЕЛЕКТРОННИТЕ ПЛАТФОРМИ</w:t>
      </w:r>
    </w:p>
    <w:p w14:paraId="1C94C4B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За да се улесни първоначалната работа със системите, е полезно да се следва ясна последователност от действия при влизане в платформите.</w:t>
      </w:r>
    </w:p>
    <w:p w14:paraId="124B99F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95D76E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Работа с EU Funding &amp; Tenders Portal</w:t>
      </w:r>
    </w:p>
    <w:p w14:paraId="11A6AF1F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298E4D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При първо влизане в платформата се препоръчва:</w:t>
      </w:r>
    </w:p>
    <w:p w14:paraId="7E900F3A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77A51F53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отвори секцията „Funding Opportunities“ или „Calls for proposals“;</w:t>
      </w:r>
    </w:p>
    <w:p w14:paraId="14AFABB7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използват филтрите за търсене (по програма, тема, срок);</w:t>
      </w:r>
    </w:p>
    <w:p w14:paraId="325B48FF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избере конкретна покана и да се отвори нейното описание;</w:t>
      </w:r>
    </w:p>
    <w:p w14:paraId="730C3D58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прегледат основните елементи – цели, допустими кандидати, дейности;</w:t>
      </w:r>
    </w:p>
    <w:p w14:paraId="379A4996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отвори свързаната документация (call document, guide for applicants);</w:t>
      </w:r>
    </w:p>
    <w:p w14:paraId="3505D9A2" w14:textId="77777777" w:rsidR="00FB52BA" w:rsidRPr="00FB52BA" w:rsidRDefault="00FB52BA" w:rsidP="00FB52BA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При готовност – да се създаде проектно предложение чрез бутона „Start submission“.</w:t>
      </w:r>
    </w:p>
    <w:p w14:paraId="3C7AE30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5164992D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Работа с ИСУН</w:t>
      </w:r>
    </w:p>
    <w:p w14:paraId="1B55231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C2F4D92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При работа със системата ИСУН се препоръчва:</w:t>
      </w:r>
    </w:p>
    <w:p w14:paraId="2DBFA05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B76522A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влезе в профила на организацията;</w:t>
      </w:r>
    </w:p>
    <w:p w14:paraId="753AF011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отвори раздел „Процедури“;</w:t>
      </w:r>
    </w:p>
    <w:p w14:paraId="7118C212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избере активна процедура по съответната програма;</w:t>
      </w:r>
    </w:p>
    <w:p w14:paraId="5DDA1D28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отвори страницата на процедурата и да се изтеглят насоките;</w:t>
      </w:r>
    </w:p>
    <w:p w14:paraId="139D61AC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създаде ново проектно предложение;</w:t>
      </w:r>
    </w:p>
    <w:p w14:paraId="17B8CAAB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започне попълване на формуляра по раздели;</w:t>
      </w:r>
    </w:p>
    <w:p w14:paraId="2743CB07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прикачат необходимите документи;</w:t>
      </w:r>
    </w:p>
    <w:p w14:paraId="6ED09B44" w14:textId="77777777" w:rsidR="00FB52BA" w:rsidRPr="00FB52BA" w:rsidRDefault="00FB52BA" w:rsidP="00FB52BA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Да се извърши проверка на пълнотата преди подаване.</w:t>
      </w:r>
    </w:p>
    <w:p w14:paraId="53E163B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Важно е да се подчертае, че и в двете системи работата следва логическа последователност и изисква внимателно следване на инструкциите. При първоначално използване е препоръчително да се отдели време за ориентация, преди да се пристъпи към реално кандидатстване.</w:t>
      </w:r>
    </w:p>
    <w:p w14:paraId="08BBE9A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BFF9B03" w14:textId="77777777" w:rsidR="00FB52BA" w:rsidRPr="00FB52BA" w:rsidRDefault="00FB52BA" w:rsidP="00FB52BA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00286C"/>
          <w:kern w:val="0"/>
          <w:lang w:eastAsia="bg-BG"/>
          <w14:ligatures w14:val="none"/>
        </w:rPr>
        <w:t>ПРАКТИЧЕСКО ЗНАЧЕНИЕ НА РАБОТАТА С ПЛАТФОРМИТЕ</w:t>
      </w:r>
    </w:p>
    <w:p w14:paraId="07EA98C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4DF41090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Умението за работа с електронни платформи е ключов елемент от организационния капацитет. То позволява не само достъп до финансиране, но и ефективно управление на проектите след тяхното одобрение.</w:t>
      </w:r>
    </w:p>
    <w:p w14:paraId="272C515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С натрупването на опит, работата със системите се превръща в рутинен процес, който улеснява организациите и им позволява да се фокусират върху съдържателната част на проектите.</w:t>
      </w:r>
    </w:p>
    <w:p w14:paraId="6A390EBB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29F70882" w14:textId="77777777" w:rsidR="00FB52BA" w:rsidRPr="00FB52BA" w:rsidRDefault="00FB52BA" w:rsidP="00FB52BA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/>
          <w:color w:val="227ACB"/>
          <w:kern w:val="0"/>
          <w:u w:val="thick"/>
          <w:lang w:eastAsia="bg-BG"/>
          <w14:ligatures w14:val="none"/>
        </w:rPr>
        <w:t xml:space="preserve"> </w:t>
      </w:r>
      <w:r w:rsidRPr="00FB52BA">
        <w:rPr>
          <w:rFonts w:ascii="Trebuchet MS" w:eastAsia="Times New Roman" w:hAnsi="Trebuchet MS" w:cs="Times New Roman"/>
          <w:b/>
          <w:color w:val="00286C"/>
          <w:kern w:val="0"/>
          <w:u w:val="thick"/>
          <w:lang w:eastAsia="bg-BG"/>
          <w14:ligatures w14:val="none"/>
        </w:rPr>
        <w:t>ЗАКЛЮЧЕНИЕ</w:t>
      </w:r>
    </w:p>
    <w:p w14:paraId="050E1E46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</w:p>
    <w:p w14:paraId="09AC1C01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Практическото разбиране на електронните платформи е необходима предпоставка за успешно участие в програми, финансирани от Европейския съюз. Чрез систематично запознаване със структурата, логиката и функционалностите на системите, се изграждат практически умения, които им позволяват да работят уверено и ефективно в дигитална среда.</w:t>
      </w:r>
    </w:p>
    <w:p w14:paraId="2ABB0B29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</w:pPr>
      <w:r w:rsidRPr="00FB52BA">
        <w:rPr>
          <w:rFonts w:ascii="Trebuchet MS" w:eastAsia="Times New Roman" w:hAnsi="Trebuchet MS" w:cs="Times New Roman"/>
          <w:bCs/>
          <w:color w:val="000000"/>
          <w:kern w:val="0"/>
          <w:lang w:eastAsia="bg-BG"/>
          <w14:ligatures w14:val="none"/>
        </w:rPr>
        <w:t>В този смисъл, практическата работа и самостоятелното овладяване на работата с платформите представляват неразделна част от процеса на подготовка за кандидатстване и управление на проекти.</w:t>
      </w:r>
    </w:p>
    <w:p w14:paraId="64A7F198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ind w:left="2403"/>
        <w:rPr>
          <w:rFonts w:ascii="Trebuchet MS" w:eastAsia="Times New Roman" w:hAnsi="Trebuchet MS" w:cs="Times New Roman"/>
          <w:bCs/>
          <w:color w:val="003399"/>
          <w:kern w:val="0"/>
          <w:lang w:eastAsia="bg-BG"/>
          <w14:ligatures w14:val="none"/>
        </w:rPr>
      </w:pPr>
    </w:p>
    <w:p w14:paraId="19EC3BEC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rPr>
          <w:rFonts w:ascii="Trebuchet MS" w:eastAsia="Times New Roman" w:hAnsi="Trebuchet MS" w:cs="Times New Roman"/>
          <w:bCs/>
          <w:color w:val="003399"/>
          <w:kern w:val="0"/>
          <w:lang w:eastAsia="bg-BG"/>
          <w14:ligatures w14:val="none"/>
        </w:rPr>
      </w:pPr>
    </w:p>
    <w:p w14:paraId="16C38F33" w14:textId="77777777" w:rsidR="00FB52BA" w:rsidRPr="00FB52BA" w:rsidRDefault="00FB52BA" w:rsidP="00FB52BA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rPr>
          <w:rFonts w:ascii="Trebuchet MS" w:eastAsia="Times New Roman" w:hAnsi="Trebuchet MS" w:cs="Times New Roman"/>
          <w:bCs/>
          <w:color w:val="003399"/>
          <w:kern w:val="0"/>
          <w:lang w:eastAsia="bg-BG"/>
          <w14:ligatures w14:val="none"/>
        </w:rPr>
      </w:pPr>
    </w:p>
    <w:p w14:paraId="49ED2532" w14:textId="77777777" w:rsidR="0068261E" w:rsidRDefault="0068261E"/>
    <w:sectPr w:rsidR="0068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576"/>
    <w:multiLevelType w:val="hybridMultilevel"/>
    <w:tmpl w:val="73AC225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BA4B22"/>
    <w:multiLevelType w:val="hybridMultilevel"/>
    <w:tmpl w:val="5286304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D104E"/>
    <w:multiLevelType w:val="hybridMultilevel"/>
    <w:tmpl w:val="683C3F3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4936F4"/>
    <w:multiLevelType w:val="hybridMultilevel"/>
    <w:tmpl w:val="C8A0516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4B4983"/>
    <w:multiLevelType w:val="hybridMultilevel"/>
    <w:tmpl w:val="D7CADC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06562"/>
    <w:multiLevelType w:val="multilevel"/>
    <w:tmpl w:val="DE1E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u w:val="thick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B4275"/>
    <w:multiLevelType w:val="hybridMultilevel"/>
    <w:tmpl w:val="8F0C37B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686FD8"/>
    <w:multiLevelType w:val="hybridMultilevel"/>
    <w:tmpl w:val="E3F4C01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9A60FB"/>
    <w:multiLevelType w:val="hybridMultilevel"/>
    <w:tmpl w:val="9E826B6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257F7E"/>
    <w:multiLevelType w:val="hybridMultilevel"/>
    <w:tmpl w:val="BF1414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63EF4"/>
    <w:multiLevelType w:val="hybridMultilevel"/>
    <w:tmpl w:val="B4883A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8024">
    <w:abstractNumId w:val="5"/>
  </w:num>
  <w:num w:numId="2" w16cid:durableId="1822385810">
    <w:abstractNumId w:val="2"/>
  </w:num>
  <w:num w:numId="3" w16cid:durableId="855266239">
    <w:abstractNumId w:val="3"/>
  </w:num>
  <w:num w:numId="4" w16cid:durableId="481964449">
    <w:abstractNumId w:val="0"/>
  </w:num>
  <w:num w:numId="5" w16cid:durableId="600573680">
    <w:abstractNumId w:val="6"/>
  </w:num>
  <w:num w:numId="6" w16cid:durableId="1433475828">
    <w:abstractNumId w:val="8"/>
  </w:num>
  <w:num w:numId="7" w16cid:durableId="1146361778">
    <w:abstractNumId w:val="7"/>
  </w:num>
  <w:num w:numId="8" w16cid:durableId="928537980">
    <w:abstractNumId w:val="1"/>
  </w:num>
  <w:num w:numId="9" w16cid:durableId="399518929">
    <w:abstractNumId w:val="10"/>
  </w:num>
  <w:num w:numId="10" w16cid:durableId="2142765861">
    <w:abstractNumId w:val="4"/>
  </w:num>
  <w:num w:numId="11" w16cid:durableId="1422484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17"/>
    <w:rsid w:val="001C4002"/>
    <w:rsid w:val="00255EA1"/>
    <w:rsid w:val="0068261E"/>
    <w:rsid w:val="007377ED"/>
    <w:rsid w:val="00B83117"/>
    <w:rsid w:val="00FB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0EEB3-B823-40F4-AF16-4024095B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3450</Words>
  <Characters>19671</Characters>
  <Application>Microsoft Office Word</Application>
  <DocSecurity>0</DocSecurity>
  <Lines>163</Lines>
  <Paragraphs>46</Paragraphs>
  <ScaleCrop>false</ScaleCrop>
  <Company/>
  <LinksUpToDate>false</LinksUpToDate>
  <CharactersWithSpaces>23075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2026-08-20T17:59:00Z</dcterms:created>
  <dcterms:modified xsi:type="dcterms:W3CDTF">2026-08-20T18:01:00Z</dcterms:modified>
</cp:coreProperties>
</file>